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Table of Contents"/>
          <w:docPartUnique w:val="true"/>
        </w:docPartObj>
      </w:sdtPr>
      <w:sdtContent>
        <w:p>
          <w:pPr>
            <w:pStyle w:val="Standard"/>
            <w:tabs>
              <w:tab w:val="clear" w:pos="720"/>
              <w:tab w:val="right" w:pos="9360" w:leader="dot"/>
            </w:tabs>
            <w:spacing w:before="0" w:after="0"/>
            <w:jc w:val="center"/>
            <w:rPr>
              <w:rFonts w:cs="Calibri"/>
              <w:b/>
              <w:bCs/>
              <w:sz w:val="24"/>
              <w:szCs w:val="24"/>
              <w:lang w:val="lt-LT"/>
            </w:rPr>
          </w:pPr>
          <w:r>
            <w:fldChar w:fldCharType="begin"/>
          </w:r>
          <w:r>
            <w:rPr>
              <w:sz w:val="24"/>
              <w:b/>
              <w:szCs w:val="24"/>
              <w:bCs/>
              <w:rFonts w:cs="Calibri"/>
              <w:lang w:val="lt-LT"/>
            </w:rPr>
            <w:instrText xml:space="preserve"> TOC \o "1-3" \h</w:instrText>
          </w:r>
          <w:r>
            <w:rPr>
              <w:sz w:val="24"/>
              <w:b/>
              <w:szCs w:val="24"/>
              <w:bCs/>
              <w:rFonts w:cs="Calibri"/>
              <w:lang w:val="lt-LT"/>
            </w:rPr>
            <w:fldChar w:fldCharType="separate"/>
          </w:r>
          <w:r>
            <w:rPr>
              <w:rFonts w:cs="Calibri"/>
              <w:b/>
              <w:bCs/>
              <w:sz w:val="24"/>
              <w:szCs w:val="24"/>
              <w:lang w:val="lt-LT"/>
            </w:rPr>
          </w:r>
        </w:p>
        <w:p>
          <w:pPr>
            <w:pStyle w:val="Standard"/>
            <w:tabs>
              <w:tab w:val="clear" w:pos="720"/>
              <w:tab w:val="right" w:pos="9360" w:leader="dot"/>
            </w:tabs>
            <w:spacing w:before="0" w:after="0"/>
            <w:jc w:val="center"/>
            <w:rPr>
              <w:lang w:val="lt-LT"/>
            </w:rPr>
          </w:pPr>
          <w:r>
            <w:rPr>
              <w:rFonts w:cs="Calibri"/>
              <w:sz w:val="24"/>
              <w:szCs w:val="24"/>
              <w:lang w:val="lt-LT"/>
            </w:rPr>
            <w:t>Pirkimą vykdo įgaliotoji perkančioji organizacija:</w:t>
          </w:r>
        </w:p>
        <w:p>
          <w:pPr>
            <w:pStyle w:val="Standard"/>
            <w:tabs>
              <w:tab w:val="clear" w:pos="720"/>
              <w:tab w:val="right" w:pos="9360" w:leader="dot"/>
            </w:tabs>
            <w:spacing w:before="0" w:after="0"/>
            <w:jc w:val="center"/>
            <w:rPr>
              <w:lang w:val="lt-LT"/>
            </w:rPr>
          </w:pPr>
          <w:r>
            <w:rPr>
              <w:rFonts w:cs="Calibri"/>
              <w:b/>
              <w:caps/>
              <w:sz w:val="24"/>
              <w:szCs w:val="24"/>
              <w:lang w:val="lt-LT"/>
            </w:rPr>
            <w:t>Prienų rajono savivaldybės administracija</w:t>
          </w:r>
        </w:p>
        <w:p>
          <w:pPr>
            <w:pStyle w:val="Standard"/>
            <w:tabs>
              <w:tab w:val="clear" w:pos="720"/>
              <w:tab w:val="right" w:pos="9360" w:leader="dot"/>
            </w:tabs>
            <w:spacing w:before="0" w:after="0"/>
            <w:jc w:val="center"/>
            <w:rPr>
              <w:lang w:val="lt-LT"/>
            </w:rPr>
          </w:pPr>
          <w:r>
            <w:rPr>
              <w:rFonts w:cs="Calibri"/>
              <w:sz w:val="24"/>
              <w:szCs w:val="24"/>
              <w:lang w:val="lt-LT"/>
            </w:rPr>
            <w:t>Duomenys kaupiami ir saugomi juridinių asmenų registre, kodas 288742590,</w:t>
          </w:r>
        </w:p>
        <w:p>
          <w:pPr>
            <w:pStyle w:val="Standard"/>
            <w:tabs>
              <w:tab w:val="clear" w:pos="720"/>
              <w:tab w:val="right" w:pos="9360" w:leader="dot"/>
            </w:tabs>
            <w:spacing w:before="0" w:after="0"/>
            <w:jc w:val="center"/>
            <w:rPr>
              <w:lang w:val="lt-LT"/>
            </w:rPr>
          </w:pPr>
          <w:r>
            <w:rPr>
              <w:rFonts w:cs="Calibri"/>
              <w:sz w:val="24"/>
              <w:szCs w:val="24"/>
              <w:lang w:val="lt-LT"/>
            </w:rPr>
            <w:t>Laisvės a. 12, LT-59126 Prienai, tel. +370 319 61 105,</w:t>
          </w:r>
        </w:p>
        <w:p>
          <w:pPr>
            <w:pStyle w:val="Standard"/>
            <w:tabs>
              <w:tab w:val="clear" w:pos="720"/>
              <w:tab w:val="right" w:pos="9360" w:leader="dot"/>
            </w:tabs>
            <w:spacing w:before="0" w:after="0"/>
            <w:jc w:val="center"/>
            <w:rPr>
              <w:lang w:val="lt-LT"/>
            </w:rPr>
          </w:pPr>
          <w:r>
            <w:rPr>
              <w:rFonts w:cs="Calibri"/>
              <w:sz w:val="24"/>
              <w:szCs w:val="24"/>
              <w:lang w:val="lt-LT"/>
            </w:rPr>
            <w:t>el. p. administracija@prienai.lt</w:t>
          </w:r>
        </w:p>
        <w:p>
          <w:pPr>
            <w:pStyle w:val="Standard"/>
            <w:tabs>
              <w:tab w:val="clear" w:pos="720"/>
              <w:tab w:val="right" w:pos="9360" w:leader="dot"/>
            </w:tabs>
            <w:spacing w:before="0" w:after="0"/>
            <w:jc w:val="center"/>
            <w:rPr>
              <w:rFonts w:cs="Calibri"/>
              <w:b/>
              <w:bCs/>
              <w:sz w:val="24"/>
              <w:szCs w:val="24"/>
              <w:lang w:val="lt-LT"/>
            </w:rPr>
          </w:pPr>
          <w:r>
            <w:rPr>
              <w:rFonts w:cs="Calibri"/>
              <w:b/>
              <w:bCs/>
              <w:sz w:val="24"/>
              <w:szCs w:val="24"/>
              <w:lang w:val="lt-LT"/>
            </w:rPr>
          </w:r>
        </w:p>
        <w:p>
          <w:pPr>
            <w:pStyle w:val="Standard"/>
            <w:tabs>
              <w:tab w:val="clear" w:pos="720"/>
              <w:tab w:val="right" w:pos="9360" w:leader="dot"/>
            </w:tabs>
            <w:spacing w:before="0" w:after="0"/>
            <w:jc w:val="center"/>
            <w:rPr>
              <w:rFonts w:cs="Calibri"/>
              <w:bCs/>
              <w:sz w:val="24"/>
              <w:szCs w:val="24"/>
              <w:lang w:val="lt-LT"/>
            </w:rPr>
          </w:pPr>
          <w:r>
            <w:rPr>
              <w:rFonts w:cs="Calibri"/>
              <w:bCs/>
              <w:sz w:val="24"/>
              <w:szCs w:val="24"/>
              <w:lang w:val="lt-LT"/>
            </w:rPr>
          </w:r>
        </w:p>
        <w:p>
          <w:pPr>
            <w:pStyle w:val="Standard"/>
            <w:tabs>
              <w:tab w:val="clear" w:pos="720"/>
              <w:tab w:val="right" w:pos="9360" w:leader="dot"/>
            </w:tabs>
            <w:spacing w:before="0" w:after="0"/>
            <w:jc w:val="center"/>
            <w:rPr>
              <w:rFonts w:cs="Calibri"/>
              <w:b/>
              <w:bCs/>
              <w:sz w:val="24"/>
              <w:szCs w:val="24"/>
              <w:lang w:val="lt-LT"/>
            </w:rPr>
          </w:pPr>
          <w:r>
            <w:rPr>
              <w:rFonts w:cs="Calibri"/>
              <w:b/>
              <w:bCs/>
              <w:sz w:val="24"/>
              <w:szCs w:val="24"/>
              <w:lang w:val="lt-LT"/>
            </w:rPr>
          </w:r>
        </w:p>
        <w:p>
          <w:pPr>
            <w:pStyle w:val="Standard"/>
            <w:tabs>
              <w:tab w:val="clear" w:pos="720"/>
              <w:tab w:val="right" w:pos="9360" w:leader="dot"/>
            </w:tabs>
            <w:spacing w:before="0" w:after="0"/>
            <w:jc w:val="center"/>
            <w:rPr>
              <w:rFonts w:cs="Calibri"/>
              <w:b/>
              <w:bCs/>
              <w:sz w:val="24"/>
              <w:szCs w:val="24"/>
              <w:lang w:val="lt-LT"/>
            </w:rPr>
          </w:pPr>
          <w:r>
            <w:rPr>
              <w:rFonts w:cs="Calibri"/>
              <w:b/>
              <w:bCs/>
              <w:sz w:val="24"/>
              <w:szCs w:val="24"/>
              <w:lang w:val="lt-LT"/>
            </w:rPr>
          </w:r>
        </w:p>
        <w:p>
          <w:pPr>
            <w:pStyle w:val="Standard"/>
            <w:tabs>
              <w:tab w:val="clear" w:pos="720"/>
              <w:tab w:val="right" w:pos="9360" w:leader="dot"/>
            </w:tabs>
            <w:spacing w:before="0" w:after="0"/>
            <w:jc w:val="center"/>
            <w:rPr>
              <w:rFonts w:cs="Calibri"/>
              <w:b/>
              <w:bCs/>
              <w:sz w:val="24"/>
              <w:szCs w:val="24"/>
              <w:lang w:val="lt-LT"/>
            </w:rPr>
          </w:pPr>
          <w:r>
            <w:rPr>
              <w:rFonts w:cs="Calibri"/>
              <w:b/>
              <w:bCs/>
              <w:sz w:val="24"/>
              <w:szCs w:val="24"/>
              <w:lang w:val="lt-LT"/>
            </w:rPr>
          </w:r>
        </w:p>
        <w:p>
          <w:pPr>
            <w:pStyle w:val="Standard"/>
            <w:tabs>
              <w:tab w:val="clear" w:pos="720"/>
              <w:tab w:val="right" w:pos="9360" w:leader="dot"/>
            </w:tabs>
            <w:spacing w:before="0" w:after="0"/>
            <w:ind w:left="5245"/>
            <w:rPr>
              <w:lang w:val="lt-LT"/>
            </w:rPr>
          </w:pPr>
          <w:r>
            <w:rPr>
              <w:rFonts w:cs="Calibri"/>
              <w:sz w:val="24"/>
              <w:szCs w:val="24"/>
              <w:lang w:val="lt-LT"/>
            </w:rPr>
            <w:t>PATVIRTINTA</w:t>
          </w:r>
        </w:p>
        <w:p>
          <w:pPr>
            <w:pStyle w:val="Standard"/>
            <w:tabs>
              <w:tab w:val="clear" w:pos="720"/>
              <w:tab w:val="right" w:pos="9360" w:leader="dot"/>
            </w:tabs>
            <w:spacing w:before="0" w:after="0"/>
            <w:ind w:left="5245"/>
            <w:rPr>
              <w:lang w:val="lt-LT"/>
            </w:rPr>
          </w:pPr>
          <w:r>
            <w:rPr>
              <w:rFonts w:cs="Calibri"/>
              <w:sz w:val="24"/>
              <w:szCs w:val="24"/>
              <w:lang w:val="lt-LT"/>
            </w:rPr>
            <w:t xml:space="preserve">Prienų rajono savivaldybės viešojo pirkimo komisijos </w:t>
          </w:r>
          <w:r>
            <w:rPr>
              <w:rFonts w:cs="Calibri"/>
              <w:color w:val="000000"/>
              <w:sz w:val="24"/>
              <w:szCs w:val="24"/>
              <w:shd w:fill="auto" w:val="clear"/>
              <w:lang w:val="lt-LT"/>
            </w:rPr>
            <w:t>2025-01-</w:t>
          </w:r>
          <w:r>
            <w:rPr>
              <w:rFonts w:cs="Calibri"/>
              <w:color w:val="000000"/>
              <w:sz w:val="24"/>
              <w:szCs w:val="24"/>
              <w:shd w:fill="auto" w:val="clear"/>
              <w:lang w:val="lt-LT"/>
            </w:rPr>
            <w:t>10</w:t>
          </w:r>
          <w:r>
            <w:rPr>
              <w:rFonts w:cs="Calibri"/>
              <w:sz w:val="24"/>
              <w:szCs w:val="24"/>
              <w:lang w:val="lt-LT"/>
            </w:rPr>
            <w:t xml:space="preserve">  protokolu</w:t>
          </w:r>
        </w:p>
        <w:p>
          <w:pPr>
            <w:pStyle w:val="Standard"/>
            <w:tabs>
              <w:tab w:val="clear" w:pos="720"/>
              <w:tab w:val="right" w:pos="9360" w:leader="dot"/>
            </w:tabs>
            <w:spacing w:before="0" w:after="0"/>
            <w:ind w:left="5245"/>
            <w:rPr>
              <w:lang w:val="lt-LT"/>
            </w:rPr>
          </w:pPr>
          <w:r>
            <w:rPr>
              <w:rFonts w:cs="Calibri"/>
              <w:sz w:val="24"/>
              <w:szCs w:val="24"/>
              <w:lang w:val="lt-LT"/>
            </w:rPr>
            <w:t>PAKEITIMAI PATVIRTINTI:</w:t>
          </w:r>
        </w:p>
        <w:p>
          <w:pPr>
            <w:pStyle w:val="Standard"/>
            <w:tabs>
              <w:tab w:val="clear" w:pos="720"/>
              <w:tab w:val="right" w:pos="9360" w:leader="dot"/>
            </w:tabs>
            <w:spacing w:before="0" w:after="0"/>
            <w:ind w:left="5245"/>
            <w:rPr>
              <w:lang w:val="lt-LT"/>
            </w:rPr>
          </w:pPr>
          <w:r>
            <w:rPr>
              <w:rFonts w:cs="Calibri"/>
              <w:i/>
              <w:sz w:val="24"/>
              <w:szCs w:val="24"/>
              <w:lang w:val="lt-LT"/>
            </w:rPr>
            <w:t>NETAIKOMA</w:t>
          </w:r>
        </w:p>
        <w:p>
          <w:pPr>
            <w:pStyle w:val="Standard"/>
            <w:tabs>
              <w:tab w:val="clear" w:pos="720"/>
              <w:tab w:val="right" w:pos="9360" w:leader="dot"/>
            </w:tabs>
            <w:spacing w:before="0" w:after="0"/>
            <w:jc w:val="center"/>
            <w:rPr>
              <w:rFonts w:cs="Calibri"/>
              <w:sz w:val="24"/>
              <w:szCs w:val="24"/>
              <w:lang w:val="lt-LT"/>
            </w:rPr>
          </w:pPr>
          <w:r>
            <w:rPr>
              <w:rFonts w:cs="Calibri"/>
              <w:sz w:val="24"/>
              <w:szCs w:val="24"/>
              <w:lang w:val="lt-LT"/>
            </w:rPr>
          </w:r>
        </w:p>
        <w:p>
          <w:pPr>
            <w:pStyle w:val="Standard"/>
            <w:tabs>
              <w:tab w:val="clear" w:pos="720"/>
              <w:tab w:val="right" w:pos="9360" w:leader="dot"/>
            </w:tabs>
            <w:spacing w:before="0" w:after="0"/>
            <w:jc w:val="center"/>
            <w:rPr>
              <w:rFonts w:cs="Calibri"/>
              <w:sz w:val="24"/>
              <w:szCs w:val="24"/>
              <w:lang w:val="lt-LT"/>
            </w:rPr>
          </w:pPr>
          <w:r>
            <w:rPr>
              <w:rFonts w:cs="Calibri"/>
              <w:sz w:val="24"/>
              <w:szCs w:val="24"/>
              <w:lang w:val="lt-LT"/>
            </w:rPr>
          </w:r>
        </w:p>
        <w:p>
          <w:pPr>
            <w:pStyle w:val="Standard"/>
            <w:tabs>
              <w:tab w:val="clear" w:pos="720"/>
              <w:tab w:val="right" w:pos="9360" w:leader="dot"/>
            </w:tabs>
            <w:spacing w:before="0" w:after="0"/>
            <w:jc w:val="center"/>
            <w:rPr>
              <w:rFonts w:cs="Calibri"/>
              <w:sz w:val="24"/>
              <w:szCs w:val="24"/>
              <w:lang w:val="lt-LT"/>
            </w:rPr>
          </w:pPr>
          <w:r>
            <w:rPr>
              <w:rFonts w:cs="Calibri"/>
              <w:sz w:val="24"/>
              <w:szCs w:val="24"/>
              <w:lang w:val="lt-LT"/>
            </w:rPr>
          </w:r>
        </w:p>
        <w:p>
          <w:pPr>
            <w:pStyle w:val="Standard"/>
            <w:tabs>
              <w:tab w:val="clear" w:pos="720"/>
              <w:tab w:val="right" w:pos="9360" w:leader="dot"/>
            </w:tabs>
            <w:spacing w:lineRule="auto" w:line="240" w:before="0" w:after="0"/>
            <w:jc w:val="center"/>
            <w:rPr>
              <w:lang w:val="lt-LT"/>
            </w:rPr>
          </w:pPr>
          <w:r>
            <w:rPr>
              <w:rFonts w:cs="Calibri"/>
              <w:b/>
              <w:bCs/>
              <w:sz w:val="28"/>
              <w:szCs w:val="28"/>
              <w:lang w:val="lt-LT"/>
            </w:rPr>
            <w:t>SUPAPRASTINTO VIEŠOJO PIRKIMO „</w:t>
          </w:r>
          <w:bookmarkStart w:id="0" w:name="_Hlk181259356"/>
          <w:r>
            <w:rPr>
              <w:rFonts w:eastAsia="Times New Roman" w:cs="Calibri"/>
              <w:b/>
              <w:bCs/>
              <w:color w:val="000000"/>
              <w:sz w:val="28"/>
              <w:szCs w:val="28"/>
              <w:lang w:val="lt-LT"/>
            </w:rPr>
            <w:t>PRIENŲ RAJONO PIRMINĖS SVEIKATOS PRIEŽIŪROS CENTRO REKONSTRAVIMO DARBAI</w:t>
          </w:r>
          <w:bookmarkEnd w:id="0"/>
          <w:r>
            <w:rPr>
              <w:rFonts w:cs="Calibri"/>
              <w:b/>
              <w:bCs/>
              <w:sz w:val="28"/>
              <w:szCs w:val="28"/>
              <w:lang w:val="lt-LT"/>
            </w:rPr>
            <w:t>“ ATVIRO KONKURSO SPECIALIOSIOS SĄLYGOS</w:t>
          </w:r>
        </w:p>
        <w:p>
          <w:pPr>
            <w:pStyle w:val="Standard"/>
            <w:tabs>
              <w:tab w:val="clear" w:pos="720"/>
              <w:tab w:val="right" w:pos="9360" w:leader="dot"/>
            </w:tabs>
            <w:spacing w:lineRule="auto" w:line="240" w:before="0" w:after="0"/>
            <w:jc w:val="center"/>
            <w:rPr>
              <w:lang w:val="lt-LT"/>
            </w:rPr>
          </w:pPr>
          <w:r>
            <w:rPr>
              <w:rFonts w:cs="Calibri"/>
              <w:b/>
              <w:bCs/>
              <w:sz w:val="28"/>
              <w:szCs w:val="28"/>
              <w:lang w:val="lt-LT"/>
            </w:rPr>
            <w:t>Versija Nr. 1</w:t>
          </w:r>
        </w:p>
        <w:p>
          <w:pPr>
            <w:pStyle w:val="Standard"/>
            <w:tabs>
              <w:tab w:val="clear" w:pos="720"/>
              <w:tab w:val="right" w:pos="9360" w:leader="dot"/>
            </w:tabs>
            <w:spacing w:lineRule="auto" w:line="240" w:before="0" w:after="0"/>
            <w:rPr>
              <w:rFonts w:cs="Calibri"/>
              <w:sz w:val="28"/>
              <w:szCs w:val="28"/>
              <w:lang w:val="lt-LT"/>
            </w:rPr>
          </w:pPr>
          <w:r>
            <w:rPr>
              <w:rFonts w:cs="Calibri"/>
              <w:sz w:val="28"/>
              <w:szCs w:val="28"/>
              <w:lang w:val="lt-LT"/>
            </w:rPr>
          </w:r>
        </w:p>
        <w:p>
          <w:pPr>
            <w:pStyle w:val="Standard"/>
            <w:tabs>
              <w:tab w:val="clear" w:pos="720"/>
              <w:tab w:val="right" w:pos="9360" w:leader="dot"/>
            </w:tabs>
            <w:spacing w:before="0" w:after="0"/>
            <w:rPr>
              <w:rFonts w:cs="Calibri"/>
              <w:lang w:val="lt-LT"/>
            </w:rPr>
          </w:pPr>
          <w:r>
            <w:rPr>
              <w:rFonts w:cs="Calibri"/>
              <w:lang w:val="lt-LT"/>
            </w:rPr>
          </w:r>
          <w:r>
            <w:br w:type="page"/>
          </w:r>
        </w:p>
        <w:p>
          <w:pPr>
            <w:pStyle w:val="ContentsHeading"/>
            <w:tabs>
              <w:tab w:val="clear" w:pos="720"/>
              <w:tab w:val="right" w:pos="9360" w:leader="dot"/>
            </w:tabs>
            <w:spacing w:lineRule="auto" w:line="276" w:before="0" w:after="0"/>
            <w:ind w:hanging="432" w:left="432"/>
            <w:outlineLvl w:val="9"/>
            <w:rPr>
              <w:lang w:val="lt-LT"/>
            </w:rPr>
          </w:pPr>
          <w:r>
            <w:rPr>
              <w:rFonts w:cs="Calibri" w:ascii="Calibri" w:hAnsi="Calibri"/>
              <w:lang w:val="lt-LT"/>
            </w:rPr>
            <w:t>TURINYS</w:t>
          </w:r>
        </w:p>
        <w:p>
          <w:pPr>
            <w:pStyle w:val="Contents1"/>
            <w:tabs>
              <w:tab w:val="right" w:pos="568" w:leader="dot"/>
              <w:tab w:val="left" w:pos="1086" w:leader="none"/>
              <w:tab w:val="right" w:pos="10388" w:leader="dot"/>
            </w:tabs>
            <w:rPr/>
          </w:pPr>
          <w:hyperlink w:anchor="_Toc170854163">
            <w:r>
              <w:rPr>
                <w:rStyle w:val="Rodyklssaitas"/>
                <w:rFonts w:cs="Calibri"/>
                <w:lang w:val="lt-LT"/>
              </w:rPr>
              <w:t>1.</w:t>
            </w:r>
            <w:r>
              <w:rPr>
                <w:rStyle w:val="Rodyklssaitas"/>
                <w:sz w:val="22"/>
                <w:szCs w:val="22"/>
                <w:lang w:val="lt-LT" w:eastAsia="zh-CN"/>
              </w:rPr>
              <w:t xml:space="preserve"> </w:t>
            </w:r>
            <w:r>
              <w:rPr>
                <w:rStyle w:val="Rodyklssaitas"/>
                <w:rFonts w:cs="Calibri"/>
                <w:lang w:val="lt-LT"/>
              </w:rPr>
              <w:t>Bendra informacija</w:t>
            </w:r>
            <w:r>
              <w:rPr>
                <w:rStyle w:val="Rodyklssaitas"/>
                <w:lang w:val="lt-LT"/>
              </w:rPr>
              <w:tab/>
            </w:r>
            <w:r>
              <w:rPr>
                <w:webHidden/>
              </w:rPr>
              <w:fldChar w:fldCharType="begin"/>
            </w:r>
            <w:r>
              <w:rPr>
                <w:webHidden/>
              </w:rPr>
              <w:instrText xml:space="preserve">PAGEREF _Toc170854163 \h</w:instrText>
            </w:r>
            <w:r>
              <w:rPr>
                <w:webHidden/>
              </w:rPr>
              <w:fldChar w:fldCharType="separate"/>
            </w:r>
            <w:r>
              <w:rPr>
                <w:rStyle w:val="Rodyklssaitas"/>
                <w:vanish w:val="false"/>
                <w:lang w:val="lt-LT"/>
              </w:rPr>
              <w:t>3</w:t>
            </w:r>
            <w:r>
              <w:rPr>
                <w:webHidden/>
              </w:rPr>
              <w:fldChar w:fldCharType="end"/>
            </w:r>
          </w:hyperlink>
        </w:p>
        <w:p>
          <w:pPr>
            <w:pStyle w:val="Contents1"/>
            <w:tabs>
              <w:tab w:val="right" w:pos="568" w:leader="dot"/>
              <w:tab w:val="right" w:pos="10388" w:leader="dot"/>
            </w:tabs>
            <w:rPr/>
          </w:pPr>
          <w:hyperlink w:anchor="_Toc170854164">
            <w:r>
              <w:rPr>
                <w:rStyle w:val="Rodyklssaitas"/>
                <w:rFonts w:cs="Calibri"/>
                <w:lang w:val="lt-LT"/>
              </w:rPr>
              <w:t>2</w:t>
            </w:r>
            <w:r>
              <w:rPr>
                <w:rStyle w:val="Rodyklssaitas"/>
                <w:lang w:val="lt-LT"/>
              </w:rPr>
              <w:t xml:space="preserve">. </w:t>
            </w:r>
            <w:r>
              <w:rPr>
                <w:rStyle w:val="Rodyklssaitas"/>
                <w:rFonts w:cs="Calibri"/>
                <w:lang w:val="lt-LT"/>
              </w:rPr>
              <w:t>Pirkimo objektas</w:t>
            </w:r>
            <w:r>
              <w:rPr>
                <w:rStyle w:val="Rodyklssaitas"/>
                <w:lang w:val="lt-LT"/>
              </w:rPr>
              <w:tab/>
            </w:r>
            <w:r>
              <w:rPr>
                <w:webHidden/>
              </w:rPr>
              <w:fldChar w:fldCharType="begin"/>
            </w:r>
            <w:r>
              <w:rPr>
                <w:webHidden/>
              </w:rPr>
              <w:instrText xml:space="preserve">PAGEREF _Toc170854164 \h</w:instrText>
            </w:r>
            <w:r>
              <w:rPr>
                <w:webHidden/>
              </w:rPr>
              <w:fldChar w:fldCharType="separate"/>
            </w:r>
            <w:r>
              <w:rPr>
                <w:rStyle w:val="Rodyklssaitas"/>
                <w:vanish w:val="false"/>
                <w:lang w:val="lt-LT"/>
              </w:rPr>
              <w:t>3</w:t>
            </w:r>
            <w:r>
              <w:rPr>
                <w:webHidden/>
              </w:rPr>
              <w:fldChar w:fldCharType="end"/>
            </w:r>
          </w:hyperlink>
        </w:p>
        <w:p>
          <w:pPr>
            <w:pStyle w:val="Contents1"/>
            <w:tabs>
              <w:tab w:val="right" w:pos="568" w:leader="dot"/>
              <w:tab w:val="right" w:pos="10388" w:leader="dot"/>
            </w:tabs>
            <w:rPr/>
          </w:pPr>
          <w:hyperlink w:anchor="_Toc170854165">
            <w:r>
              <w:rPr>
                <w:rStyle w:val="Rodyklssaitas"/>
                <w:rFonts w:cs="Calibri"/>
                <w:lang w:val="lt-LT"/>
              </w:rPr>
              <w:t>3. Susitikimai su tiekėjais ir objekto apžiūra</w:t>
            </w:r>
            <w:r>
              <w:rPr>
                <w:rStyle w:val="Rodyklssaitas"/>
                <w:lang w:val="lt-LT"/>
              </w:rPr>
              <w:tab/>
            </w:r>
            <w:r>
              <w:rPr>
                <w:webHidden/>
              </w:rPr>
              <w:fldChar w:fldCharType="begin"/>
            </w:r>
            <w:r>
              <w:rPr>
                <w:webHidden/>
              </w:rPr>
              <w:instrText xml:space="preserve">PAGEREF _Toc170854165 \h</w:instrText>
            </w:r>
            <w:r>
              <w:rPr>
                <w:webHidden/>
              </w:rPr>
              <w:fldChar w:fldCharType="separate"/>
            </w:r>
            <w:r>
              <w:rPr>
                <w:rStyle w:val="Rodyklssaitas"/>
                <w:vanish w:val="false"/>
                <w:lang w:val="lt-LT"/>
              </w:rPr>
              <w:t>4</w:t>
            </w:r>
            <w:r>
              <w:rPr>
                <w:webHidden/>
              </w:rPr>
              <w:fldChar w:fldCharType="end"/>
            </w:r>
          </w:hyperlink>
        </w:p>
        <w:p>
          <w:pPr>
            <w:pStyle w:val="Contents1"/>
            <w:tabs>
              <w:tab w:val="right" w:pos="568" w:leader="dot"/>
              <w:tab w:val="right" w:pos="10388" w:leader="dot"/>
            </w:tabs>
            <w:rPr/>
          </w:pPr>
          <w:hyperlink w:anchor="_Toc170854166">
            <w:r>
              <w:rPr>
                <w:rStyle w:val="Rodyklssaitas"/>
                <w:rFonts w:cs="Calibri"/>
                <w:lang w:val="lt-LT"/>
              </w:rPr>
              <w:t>4. Tiekėjų pašalinimo pagrindai ir kvalifikacijos reikalavimai</w:t>
            </w:r>
            <w:r>
              <w:rPr>
                <w:rStyle w:val="Rodyklssaitas"/>
                <w:lang w:val="lt-LT"/>
              </w:rPr>
              <w:tab/>
            </w:r>
            <w:r>
              <w:rPr>
                <w:webHidden/>
              </w:rPr>
              <w:fldChar w:fldCharType="begin"/>
            </w:r>
            <w:r>
              <w:rPr>
                <w:webHidden/>
              </w:rPr>
              <w:instrText xml:space="preserve">PAGEREF _Toc170854166 \h</w:instrText>
            </w:r>
            <w:r>
              <w:rPr>
                <w:webHidden/>
              </w:rPr>
              <w:fldChar w:fldCharType="separate"/>
            </w:r>
            <w:r>
              <w:rPr>
                <w:rStyle w:val="Rodyklssaitas"/>
                <w:vanish w:val="false"/>
                <w:lang w:val="lt-LT"/>
              </w:rPr>
              <w:t>4</w:t>
            </w:r>
            <w:r>
              <w:rPr>
                <w:webHidden/>
              </w:rPr>
              <w:fldChar w:fldCharType="end"/>
            </w:r>
          </w:hyperlink>
        </w:p>
        <w:p>
          <w:pPr>
            <w:pStyle w:val="Contents1"/>
            <w:tabs>
              <w:tab w:val="right" w:pos="568" w:leader="dot"/>
              <w:tab w:val="right" w:pos="10388" w:leader="dot"/>
            </w:tabs>
            <w:rPr/>
          </w:pPr>
          <w:hyperlink w:anchor="_Toc170854167">
            <w:r>
              <w:rPr>
                <w:rStyle w:val="Rodyklssaitas"/>
                <w:rFonts w:cs="Calibri"/>
                <w:lang w:val="lt-LT"/>
              </w:rPr>
              <w:t>5. Reikalavimai, susiję su nacionaliniu saugumu</w:t>
            </w:r>
            <w:r>
              <w:rPr>
                <w:rStyle w:val="Rodyklssaitas"/>
                <w:lang w:val="lt-LT"/>
              </w:rPr>
              <w:tab/>
            </w:r>
            <w:r>
              <w:rPr>
                <w:webHidden/>
              </w:rPr>
              <w:fldChar w:fldCharType="begin"/>
            </w:r>
            <w:r>
              <w:rPr>
                <w:webHidden/>
              </w:rPr>
              <w:instrText xml:space="preserve">PAGEREF _Toc170854167 \h</w:instrText>
            </w:r>
            <w:r>
              <w:rPr>
                <w:webHidden/>
              </w:rPr>
              <w:fldChar w:fldCharType="separate"/>
            </w:r>
            <w:r>
              <w:rPr>
                <w:rStyle w:val="Rodyklssaitas"/>
                <w:vanish w:val="false"/>
                <w:lang w:val="lt-LT"/>
              </w:rPr>
              <w:t>4</w:t>
            </w:r>
            <w:r>
              <w:rPr>
                <w:webHidden/>
              </w:rPr>
              <w:fldChar w:fldCharType="end"/>
            </w:r>
          </w:hyperlink>
        </w:p>
        <w:p>
          <w:pPr>
            <w:pStyle w:val="Contents1"/>
            <w:tabs>
              <w:tab w:val="right" w:pos="568" w:leader="dot"/>
              <w:tab w:val="right" w:pos="10388" w:leader="dot"/>
            </w:tabs>
            <w:rPr/>
          </w:pPr>
          <w:hyperlink w:anchor="_Toc170854169">
            <w:r>
              <w:rPr>
                <w:rStyle w:val="Rodyklssaitas"/>
                <w:rFonts w:cs="Calibri"/>
                <w:lang w:val="lt-LT"/>
              </w:rPr>
              <w:t>6. Pasiūlymo galiojimo užtikrinimas</w:t>
            </w:r>
            <w:r>
              <w:rPr>
                <w:rStyle w:val="Rodyklssaitas"/>
                <w:lang w:val="lt-LT"/>
              </w:rPr>
              <w:tab/>
            </w:r>
            <w:r>
              <w:rPr>
                <w:webHidden/>
              </w:rPr>
              <w:fldChar w:fldCharType="begin"/>
            </w:r>
            <w:r>
              <w:rPr>
                <w:webHidden/>
              </w:rPr>
              <w:instrText xml:space="preserve">PAGEREF _Toc170854169 \h</w:instrText>
            </w:r>
            <w:r>
              <w:rPr>
                <w:webHidden/>
              </w:rPr>
              <w:fldChar w:fldCharType="separate"/>
            </w:r>
            <w:r>
              <w:rPr>
                <w:rStyle w:val="Rodyklssaitas"/>
                <w:vanish w:val="false"/>
                <w:lang w:val="lt-LT"/>
              </w:rPr>
              <w:t>5</w:t>
            </w:r>
            <w:r>
              <w:rPr>
                <w:webHidden/>
              </w:rPr>
              <w:fldChar w:fldCharType="end"/>
            </w:r>
          </w:hyperlink>
        </w:p>
        <w:p>
          <w:pPr>
            <w:pStyle w:val="Contents1"/>
            <w:tabs>
              <w:tab w:val="right" w:pos="568" w:leader="dot"/>
              <w:tab w:val="right" w:pos="10388" w:leader="dot"/>
            </w:tabs>
            <w:rPr/>
          </w:pPr>
          <w:hyperlink w:anchor="_Toc170854170">
            <w:r>
              <w:rPr>
                <w:rStyle w:val="Rodyklssaitas"/>
                <w:rFonts w:cs="Calibri"/>
                <w:lang w:val="lt-LT"/>
              </w:rPr>
              <w:t>7. Elektroninis aukcionas</w:t>
            </w:r>
            <w:r>
              <w:rPr>
                <w:rStyle w:val="Rodyklssaitas"/>
                <w:lang w:val="lt-LT"/>
              </w:rPr>
              <w:tab/>
            </w:r>
            <w:r>
              <w:rPr>
                <w:webHidden/>
              </w:rPr>
              <w:fldChar w:fldCharType="begin"/>
            </w:r>
            <w:r>
              <w:rPr>
                <w:webHidden/>
              </w:rPr>
              <w:instrText xml:space="preserve">PAGEREF _Toc170854170 \h</w:instrText>
            </w:r>
            <w:r>
              <w:rPr>
                <w:webHidden/>
              </w:rPr>
              <w:fldChar w:fldCharType="separate"/>
            </w:r>
            <w:r>
              <w:rPr>
                <w:rStyle w:val="Rodyklssaitas"/>
                <w:vanish w:val="false"/>
                <w:lang w:val="lt-LT"/>
              </w:rPr>
              <w:t>6</w:t>
            </w:r>
            <w:r>
              <w:rPr>
                <w:webHidden/>
              </w:rPr>
              <w:fldChar w:fldCharType="end"/>
            </w:r>
          </w:hyperlink>
        </w:p>
        <w:p>
          <w:pPr>
            <w:pStyle w:val="Contents1"/>
            <w:tabs>
              <w:tab w:val="right" w:pos="568" w:leader="dot"/>
              <w:tab w:val="right" w:pos="10388" w:leader="dot"/>
            </w:tabs>
            <w:rPr/>
          </w:pPr>
          <w:hyperlink w:anchor="_Toc170854171">
            <w:r>
              <w:rPr>
                <w:rStyle w:val="Rodyklssaitas"/>
                <w:rFonts w:cs="Calibri"/>
                <w:lang w:val="lt-LT"/>
              </w:rPr>
              <w:t>8. Pasiūlymų vertinimas</w:t>
            </w:r>
            <w:r>
              <w:rPr>
                <w:rStyle w:val="Rodyklssaitas"/>
                <w:lang w:val="lt-LT"/>
              </w:rPr>
              <w:tab/>
            </w:r>
            <w:r>
              <w:rPr>
                <w:webHidden/>
              </w:rPr>
              <w:fldChar w:fldCharType="begin"/>
            </w:r>
            <w:r>
              <w:rPr>
                <w:webHidden/>
              </w:rPr>
              <w:instrText xml:space="preserve">PAGEREF _Toc170854171 \h</w:instrText>
            </w:r>
            <w:r>
              <w:rPr>
                <w:webHidden/>
              </w:rPr>
              <w:fldChar w:fldCharType="separate"/>
            </w:r>
            <w:r>
              <w:rPr>
                <w:rStyle w:val="Rodyklssaitas"/>
                <w:vanish w:val="false"/>
                <w:lang w:val="lt-LT"/>
              </w:rPr>
              <w:t>6</w:t>
            </w:r>
            <w:r>
              <w:rPr>
                <w:webHidden/>
              </w:rPr>
              <w:fldChar w:fldCharType="end"/>
            </w:r>
          </w:hyperlink>
        </w:p>
        <w:p>
          <w:pPr>
            <w:pStyle w:val="Contents1"/>
            <w:tabs>
              <w:tab w:val="right" w:pos="568" w:leader="dot"/>
              <w:tab w:val="right" w:pos="10388" w:leader="dot"/>
            </w:tabs>
            <w:rPr/>
          </w:pPr>
          <w:hyperlink w:anchor="_Toc170854172">
            <w:r>
              <w:rPr>
                <w:rStyle w:val="Rodyklssaitas"/>
                <w:rFonts w:cs="Calibri"/>
                <w:lang w:val="lt-LT"/>
              </w:rPr>
              <w:t>10. Sutarties sudarymas</w:t>
            </w:r>
            <w:r>
              <w:rPr>
                <w:rStyle w:val="Rodyklssaitas"/>
                <w:lang w:val="lt-LT"/>
              </w:rPr>
              <w:tab/>
            </w:r>
            <w:r>
              <w:rPr>
                <w:webHidden/>
              </w:rPr>
              <w:fldChar w:fldCharType="begin"/>
            </w:r>
            <w:r>
              <w:rPr>
                <w:webHidden/>
              </w:rPr>
              <w:instrText xml:space="preserve">PAGEREF _Toc170854172 \h</w:instrText>
            </w:r>
            <w:r>
              <w:rPr>
                <w:webHidden/>
              </w:rPr>
              <w:fldChar w:fldCharType="separate"/>
            </w:r>
            <w:r>
              <w:rPr>
                <w:rStyle w:val="Rodyklssaitas"/>
                <w:vanish w:val="false"/>
                <w:lang w:val="lt-LT"/>
              </w:rPr>
              <w:t>6</w:t>
            </w:r>
            <w:r>
              <w:rPr>
                <w:webHidden/>
              </w:rPr>
              <w:fldChar w:fldCharType="end"/>
            </w:r>
          </w:hyperlink>
        </w:p>
        <w:p>
          <w:pPr>
            <w:pStyle w:val="Contents1"/>
            <w:tabs>
              <w:tab w:val="right" w:pos="568" w:leader="dot"/>
              <w:tab w:val="right" w:pos="10388" w:leader="dot"/>
            </w:tabs>
            <w:rPr/>
          </w:pPr>
          <w:hyperlink w:anchor="_Toc170854173">
            <w:r>
              <w:rPr>
                <w:rStyle w:val="Rodyklssaitas"/>
                <w:rFonts w:cs="Calibri"/>
                <w:lang w:val="lt-LT"/>
              </w:rPr>
              <w:t>11. Kitos sąlygos</w:t>
            </w:r>
            <w:r>
              <w:rPr>
                <w:rStyle w:val="Rodyklssaitas"/>
                <w:lang w:val="lt-LT"/>
              </w:rPr>
              <w:tab/>
            </w:r>
            <w:r>
              <w:rPr>
                <w:webHidden/>
              </w:rPr>
              <w:fldChar w:fldCharType="begin"/>
            </w:r>
            <w:r>
              <w:rPr>
                <w:webHidden/>
              </w:rPr>
              <w:instrText xml:space="preserve">PAGEREF _Toc170854173 \h</w:instrText>
            </w:r>
            <w:r>
              <w:rPr>
                <w:webHidden/>
              </w:rPr>
              <w:fldChar w:fldCharType="separate"/>
            </w:r>
            <w:r>
              <w:rPr>
                <w:rStyle w:val="Rodyklssaitas"/>
                <w:vanish w:val="false"/>
                <w:lang w:val="lt-LT"/>
              </w:rPr>
              <w:t>6</w:t>
            </w:r>
            <w:r>
              <w:rPr>
                <w:webHidden/>
              </w:rPr>
              <w:fldChar w:fldCharType="end"/>
            </w:r>
          </w:hyperlink>
        </w:p>
        <w:p>
          <w:pPr>
            <w:pStyle w:val="Contents1"/>
            <w:tabs>
              <w:tab w:val="right" w:pos="568" w:leader="dot"/>
              <w:tab w:val="right" w:pos="10388" w:leader="dot"/>
            </w:tabs>
            <w:rPr/>
          </w:pPr>
          <w:r>
            <w:rPr>
              <w:lang w:val="lt-LT"/>
            </w:rPr>
            <w:t xml:space="preserve">  </w:t>
          </w:r>
          <w:hyperlink w:anchor="_Toc170854174">
            <w:r>
              <w:rPr>
                <w:rStyle w:val="Rodyklssaitas"/>
                <w:rFonts w:cs="Calibri"/>
                <w:lang w:val="lt-LT"/>
              </w:rPr>
              <w:t>Pirkimo sąlygų 1 priedas „Terminai“</w:t>
            </w:r>
            <w:r>
              <w:rPr>
                <w:rStyle w:val="Rodyklssaitas"/>
                <w:lang w:val="lt-LT"/>
              </w:rPr>
              <w:tab/>
            </w:r>
            <w:r>
              <w:rPr>
                <w:webHidden/>
              </w:rPr>
              <w:fldChar w:fldCharType="begin"/>
            </w:r>
            <w:r>
              <w:rPr>
                <w:webHidden/>
              </w:rPr>
              <w:instrText xml:space="preserve">PAGEREF _Toc170854174 \h</w:instrText>
            </w:r>
            <w:r>
              <w:rPr>
                <w:webHidden/>
              </w:rPr>
              <w:fldChar w:fldCharType="separate"/>
            </w:r>
            <w:r>
              <w:rPr>
                <w:rStyle w:val="Rodyklssaitas"/>
                <w:vanish w:val="false"/>
                <w:lang w:val="lt-LT"/>
              </w:rPr>
              <w:t>22</w:t>
            </w:r>
            <w:r>
              <w:rPr>
                <w:webHidden/>
              </w:rPr>
              <w:fldChar w:fldCharType="end"/>
            </w:r>
          </w:hyperlink>
        </w:p>
        <w:p>
          <w:pPr>
            <w:pStyle w:val="Contents2"/>
            <w:rPr/>
          </w:pPr>
          <w:hyperlink w:anchor="_Toc170854175">
            <w:r>
              <w:rPr>
                <w:rStyle w:val="Rodyklssaitas"/>
                <w:rFonts w:eastAsia="Calibri" w:cs="Calibri"/>
                <w:lang w:val="lt-LT"/>
              </w:rPr>
              <w:t>Pirkimo sąlygų 2 priedas „Techninė specifikacija“</w:t>
            </w:r>
            <w:r>
              <w:rPr>
                <w:rStyle w:val="Rodyklssaitas"/>
                <w:lang w:val="lt-LT"/>
              </w:rPr>
              <w:tab/>
            </w:r>
            <w:r>
              <w:rPr>
                <w:webHidden/>
              </w:rPr>
              <w:fldChar w:fldCharType="begin"/>
            </w:r>
            <w:r>
              <w:rPr>
                <w:webHidden/>
              </w:rPr>
              <w:instrText xml:space="preserve">PAGEREF _Toc170854175 \h</w:instrText>
            </w:r>
            <w:r>
              <w:rPr>
                <w:webHidden/>
              </w:rPr>
              <w:fldChar w:fldCharType="separate"/>
            </w:r>
            <w:r>
              <w:rPr>
                <w:rStyle w:val="Rodyklssaitas"/>
                <w:vanish w:val="false"/>
                <w:lang w:val="lt-LT"/>
              </w:rPr>
              <w:t>22</w:t>
            </w:r>
            <w:r>
              <w:rPr>
                <w:webHidden/>
              </w:rPr>
              <w:fldChar w:fldCharType="end"/>
            </w:r>
          </w:hyperlink>
        </w:p>
        <w:p>
          <w:pPr>
            <w:pStyle w:val="Contents2"/>
            <w:rPr/>
          </w:pPr>
          <w:hyperlink w:anchor="_Toc170854176">
            <w:r>
              <w:rPr>
                <w:rStyle w:val="Rodyklssaitas"/>
                <w:rFonts w:eastAsia="Calibri" w:cs="Calibri"/>
                <w:lang w:val="lt-LT"/>
              </w:rPr>
              <w:t>Pirkimo sąlygų 3 priedas „Tiekėjų pašalinimo pagrindai“</w:t>
            </w:r>
            <w:r>
              <w:rPr>
                <w:rStyle w:val="Rodyklssaitas"/>
                <w:lang w:val="lt-LT"/>
              </w:rPr>
              <w:tab/>
            </w:r>
            <w:r>
              <w:rPr>
                <w:webHidden/>
              </w:rPr>
              <w:fldChar w:fldCharType="begin"/>
            </w:r>
            <w:r>
              <w:rPr>
                <w:webHidden/>
              </w:rPr>
              <w:instrText xml:space="preserve">PAGEREF _Toc170854176 \h</w:instrText>
            </w:r>
            <w:r>
              <w:rPr>
                <w:webHidden/>
              </w:rPr>
              <w:fldChar w:fldCharType="separate"/>
            </w:r>
            <w:r>
              <w:rPr>
                <w:rStyle w:val="Rodyklssaitas"/>
                <w:vanish w:val="false"/>
                <w:lang w:val="lt-LT"/>
              </w:rPr>
              <w:t>25</w:t>
            </w:r>
            <w:r>
              <w:rPr>
                <w:webHidden/>
              </w:rPr>
              <w:fldChar w:fldCharType="end"/>
            </w:r>
          </w:hyperlink>
        </w:p>
        <w:p>
          <w:pPr>
            <w:pStyle w:val="Contents2"/>
            <w:rPr/>
          </w:pPr>
          <w:hyperlink w:anchor="_Toc170854177">
            <w:r>
              <w:rPr>
                <w:rStyle w:val="Rodyklssaitas"/>
                <w:rFonts w:eastAsia="Calibri" w:cs="Calibri"/>
                <w:lang w:val="lt-LT"/>
              </w:rPr>
              <w:t>Pirkimo sąlygų 4 priedas „Tiekėjų kvalifikacijos reikalavimai ir reikalaujami kokybės bei aplinkos apsaugos vadybos sistemų standartai“</w:t>
            </w:r>
            <w:r>
              <w:rPr>
                <w:rStyle w:val="Rodyklssaitas"/>
                <w:lang w:val="lt-LT"/>
              </w:rPr>
              <w:tab/>
            </w:r>
            <w:r>
              <w:rPr>
                <w:webHidden/>
              </w:rPr>
              <w:fldChar w:fldCharType="begin"/>
            </w:r>
            <w:r>
              <w:rPr>
                <w:webHidden/>
              </w:rPr>
              <w:instrText xml:space="preserve">PAGEREF _Toc170854177 \h</w:instrText>
            </w:r>
            <w:r>
              <w:rPr>
                <w:webHidden/>
              </w:rPr>
              <w:fldChar w:fldCharType="separate"/>
            </w:r>
            <w:r>
              <w:rPr>
                <w:rStyle w:val="Rodyklssaitas"/>
                <w:vanish w:val="false"/>
                <w:lang w:val="lt-LT"/>
              </w:rPr>
              <w:t>34</w:t>
            </w:r>
            <w:r>
              <w:rPr>
                <w:webHidden/>
              </w:rPr>
              <w:fldChar w:fldCharType="end"/>
            </w:r>
          </w:hyperlink>
        </w:p>
        <w:p>
          <w:pPr>
            <w:pStyle w:val="Contents2"/>
            <w:rPr>
              <w:lang w:val="lt-LT"/>
            </w:rPr>
          </w:pPr>
          <w:r>
            <w:rPr>
              <w:lang w:val="lt-LT"/>
            </w:rPr>
            <w:t>Pirkimo sąlygų 5 priedas „EBVPD“ (XML formatu).........................................</w:t>
            <w:tab/>
            <w:t>40</w:t>
          </w:r>
        </w:p>
        <w:p>
          <w:pPr>
            <w:pStyle w:val="Contents2"/>
            <w:rPr/>
          </w:pPr>
          <w:hyperlink w:anchor="_Toc170854178">
            <w:r>
              <w:rPr>
                <w:rStyle w:val="Rodyklssaitas"/>
                <w:rFonts w:eastAsia="Calibri" w:cs="Calibri"/>
                <w:lang w:val="lt-LT"/>
              </w:rPr>
              <w:t>Pirkimo sąlygų 6 priedas „Pasiūlymo forma“</w:t>
            </w:r>
            <w:r>
              <w:rPr>
                <w:rStyle w:val="Rodyklssaitas"/>
                <w:lang w:val="lt-LT"/>
              </w:rPr>
              <w:tab/>
            </w:r>
            <w:r>
              <w:rPr>
                <w:webHidden/>
              </w:rPr>
              <w:fldChar w:fldCharType="begin"/>
            </w:r>
            <w:r>
              <w:rPr>
                <w:webHidden/>
              </w:rPr>
              <w:instrText xml:space="preserve">PAGEREF _Toc170854178 \h</w:instrText>
            </w:r>
            <w:r>
              <w:rPr>
                <w:webHidden/>
              </w:rPr>
              <w:fldChar w:fldCharType="separate"/>
            </w:r>
            <w:r>
              <w:rPr>
                <w:rStyle w:val="Rodyklssaitas"/>
                <w:vanish w:val="false"/>
                <w:lang w:val="lt-LT"/>
              </w:rPr>
              <w:t>41</w:t>
            </w:r>
            <w:r>
              <w:rPr>
                <w:webHidden/>
              </w:rPr>
              <w:fldChar w:fldCharType="end"/>
            </w:r>
          </w:hyperlink>
        </w:p>
        <w:p>
          <w:pPr>
            <w:pStyle w:val="Contents2"/>
            <w:rPr/>
          </w:pPr>
          <w:hyperlink w:anchor="_Toc170854179">
            <w:r>
              <w:rPr>
                <w:rStyle w:val="Rodyklssaitas"/>
                <w:rFonts w:eastAsia="Calibri" w:cs="Calibri"/>
                <w:lang w:val="lt-LT"/>
              </w:rPr>
              <w:t>Pirkimo sąlygų 7 priedas „Pasiūlymų vertinimo kriterijai ir sąlygos“</w:t>
            </w:r>
            <w:r>
              <w:rPr>
                <w:rStyle w:val="Rodyklssaitas"/>
                <w:lang w:val="lt-LT"/>
              </w:rPr>
              <w:tab/>
            </w:r>
            <w:r>
              <w:rPr>
                <w:webHidden/>
              </w:rPr>
              <w:fldChar w:fldCharType="begin"/>
            </w:r>
            <w:r>
              <w:rPr>
                <w:webHidden/>
              </w:rPr>
              <w:instrText xml:space="preserve">PAGEREF _Toc170854179 \h</w:instrText>
            </w:r>
            <w:r>
              <w:rPr>
                <w:webHidden/>
              </w:rPr>
              <w:fldChar w:fldCharType="separate"/>
            </w:r>
            <w:r>
              <w:rPr>
                <w:rStyle w:val="Rodyklssaitas"/>
                <w:vanish w:val="false"/>
                <w:lang w:val="lt-LT"/>
              </w:rPr>
              <w:t>44</w:t>
            </w:r>
            <w:r>
              <w:rPr>
                <w:webHidden/>
              </w:rPr>
              <w:fldChar w:fldCharType="end"/>
            </w:r>
          </w:hyperlink>
        </w:p>
        <w:p>
          <w:pPr>
            <w:pStyle w:val="Contents2"/>
            <w:rPr/>
          </w:pPr>
          <w:hyperlink w:anchor="_Toc170854178">
            <w:r>
              <w:rPr>
                <w:rStyle w:val="Rodyklssaitas"/>
                <w:rFonts w:eastAsia="Calibri" w:cs="Calibri"/>
                <w:lang w:val="lt-LT"/>
              </w:rPr>
              <w:t>Pirkimo sąlygų 9 priedas „Pastato Basanavičiaus g. 1, Prienuose, Prienų r. sav. rekonstravimo projektas su paskirties keitimu iš gamybos, pramonės į mokslo paskirties pastatą“</w:t>
            </w:r>
            <w:r>
              <w:rPr>
                <w:rStyle w:val="Rodyklssaitas"/>
                <w:lang w:val="lt-LT"/>
              </w:rPr>
              <w:tab/>
            </w:r>
            <w:r>
              <w:rPr>
                <w:webHidden/>
              </w:rPr>
              <w:fldChar w:fldCharType="begin"/>
            </w:r>
            <w:r>
              <w:rPr>
                <w:webHidden/>
              </w:rPr>
              <w:instrText xml:space="preserve">PAGEREF _Toc170854178 \h</w:instrText>
            </w:r>
            <w:r>
              <w:rPr>
                <w:webHidden/>
              </w:rPr>
              <w:fldChar w:fldCharType="separate"/>
            </w:r>
            <w:r>
              <w:rPr>
                <w:rStyle w:val="Rodyklssaitas"/>
                <w:vanish w:val="false"/>
                <w:lang w:val="lt-LT"/>
              </w:rPr>
              <w:t>41</w:t>
            </w:r>
            <w:r>
              <w:rPr>
                <w:webHidden/>
              </w:rPr>
              <w:fldChar w:fldCharType="end"/>
            </w:r>
          </w:hyperlink>
        </w:p>
        <w:p>
          <w:pPr>
            <w:pStyle w:val="Contents2"/>
            <w:rPr/>
          </w:pPr>
          <w:hyperlink w:anchor="_Toc170854179">
            <w:r>
              <w:rPr>
                <w:rStyle w:val="Rodyklssaitas"/>
                <w:rFonts w:eastAsia="Calibri" w:cs="Calibri"/>
                <w:lang w:val="lt-LT"/>
              </w:rPr>
              <w:t>Pirkimo sąlygų 10 priedas „Įkainotų veiklų (darbų grupių) sąrašas“….</w:t>
              <w:tab/>
              <w:t>.</w:t>
            </w:r>
            <w:r>
              <w:rPr>
                <w:webHidden/>
              </w:rPr>
              <w:fldChar w:fldCharType="begin"/>
            </w:r>
            <w:r>
              <w:rPr>
                <w:webHidden/>
              </w:rPr>
              <w:instrText xml:space="preserve">PAGEREF _Toc170854179 \h</w:instrText>
            </w:r>
            <w:r>
              <w:rPr>
                <w:webHidden/>
              </w:rPr>
              <w:fldChar w:fldCharType="separate"/>
            </w:r>
            <w:r>
              <w:rPr>
                <w:rStyle w:val="Rodyklssaitas"/>
                <w:vanish w:val="false"/>
                <w:lang w:val="lt-LT"/>
              </w:rPr>
              <w:t>44</w:t>
            </w:r>
            <w:r>
              <w:rPr>
                <w:webHidden/>
              </w:rPr>
              <w:fldChar w:fldCharType="end"/>
            </w:r>
          </w:hyperlink>
        </w:p>
        <w:p>
          <w:pPr>
            <w:pStyle w:val="Contents2"/>
            <w:rPr/>
          </w:pPr>
          <w:hyperlink w:anchor="_Toc170854182">
            <w:r>
              <w:rPr>
                <w:rStyle w:val="Rodyklssaitas"/>
                <w:lang w:val="lt-LT"/>
              </w:rPr>
              <w:t>Pirkimo sąlygų 11 priedas „</w:t>
            </w:r>
            <w:r>
              <w:rPr>
                <w:rStyle w:val="Rodyklssaitas"/>
                <w:rFonts w:eastAsia="Calibri"/>
                <w:lang w:val="lt-LT"/>
              </w:rPr>
              <w:t>Tiekėjo vadovaujančių darbuotojų (specialistų) ir asmenų, atsakingų už sutarties įvykdymą sąrašas“</w:t>
            </w:r>
            <w:r>
              <w:rPr>
                <w:rStyle w:val="Rodyklssaitas"/>
                <w:lang w:val="lt-LT"/>
              </w:rPr>
              <w:tab/>
            </w:r>
            <w:r>
              <w:rPr>
                <w:webHidden/>
              </w:rPr>
              <w:fldChar w:fldCharType="begin"/>
            </w:r>
            <w:r>
              <w:rPr>
                <w:webHidden/>
              </w:rPr>
              <w:instrText xml:space="preserve">PAGEREF _Toc170854182 \h</w:instrText>
            </w:r>
            <w:r>
              <w:rPr>
                <w:webHidden/>
              </w:rPr>
              <w:fldChar w:fldCharType="separate"/>
            </w:r>
            <w:r>
              <w:rPr>
                <w:rStyle w:val="Rodyklssaitas"/>
                <w:vanish w:val="false"/>
                <w:lang w:val="lt-LT"/>
              </w:rPr>
              <w:t>45</w:t>
            </w:r>
            <w:r>
              <w:rPr>
                <w:webHidden/>
              </w:rPr>
              <w:fldChar w:fldCharType="end"/>
            </w:r>
          </w:hyperlink>
        </w:p>
        <w:p>
          <w:pPr>
            <w:pStyle w:val="Contents2"/>
            <w:rPr/>
          </w:pPr>
          <w:hyperlink w:anchor="_Toc170854182">
            <w:r>
              <w:rPr>
                <w:rStyle w:val="Rodyklssaitas"/>
                <w:lang w:val="lt-LT"/>
              </w:rPr>
              <w:t xml:space="preserve">Pirkimo sąlygų 13 priedas </w:t>
            </w:r>
          </w:hyperlink>
          <w:hyperlink w:anchor="_Toc170854179">
            <w:r>
              <w:rPr>
                <w:webHidden/>
              </w:rPr>
              <w:fldChar w:fldCharType="begin"/>
            </w:r>
            <w:r>
              <w:rPr>
                <w:webHidden/>
              </w:rPr>
              <w:instrText xml:space="preserve">PAGEREF _Toc170854179 \h</w:instrText>
            </w:r>
            <w:r>
              <w:rPr>
                <w:webHidden/>
              </w:rPr>
              <w:fldChar w:fldCharType="separate"/>
            </w:r>
            <w:r>
              <w:rPr>
                <w:rStyle w:val="Rodyklssaitas"/>
                <w:rFonts w:eastAsia="Calibri" w:cs="Calibri"/>
                <w:vanish w:val="false"/>
                <w:lang w:val="lt-LT"/>
              </w:rPr>
              <w:t>………………………</w:t>
            </w:r>
            <w:r>
              <w:rPr>
                <w:webHidden/>
              </w:rPr>
              <w:fldChar w:fldCharType="end"/>
            </w:r>
          </w:hyperlink>
          <w:r>
            <w:rPr>
              <w:rFonts w:eastAsia="Calibri" w:cs="Calibri"/>
              <w:lang w:val="lt-LT"/>
            </w:rPr>
            <w:tab/>
            <w:t>……………...pridedama atskiru dokumentu</w:t>
          </w:r>
          <w:r>
            <w:rPr>
              <w:rFonts w:eastAsia="Calibri" w:cs="Calibri"/>
              <w:lang w:val="lt-LT"/>
            </w:rPr>
            <w:fldChar w:fldCharType="end"/>
          </w:r>
        </w:p>
      </w:sdtContent>
    </w:sdt>
    <w:p>
      <w:pPr>
        <w:pStyle w:val="Heading1"/>
        <w:numPr>
          <w:ilvl w:val="0"/>
          <w:numId w:val="35"/>
        </w:numPr>
        <w:spacing w:lineRule="atLeast" w:line="20" w:before="0" w:after="120"/>
        <w:rPr>
          <w:lang w:val="lt-LT"/>
        </w:rPr>
      </w:pPr>
      <w:r>
        <w:br w:type="page"/>
      </w:r>
      <w:bookmarkStart w:id="1" w:name="_Toc170854163"/>
      <w:r>
        <w:rPr>
          <w:rFonts w:cs="Calibri" w:ascii="Calibri" w:hAnsi="Calibri"/>
          <w:lang w:val="lt-LT"/>
        </w:rPr>
        <w:t>Bendra informacija</w:t>
      </w:r>
      <w:bookmarkEnd w:id="1"/>
    </w:p>
    <w:p>
      <w:pPr>
        <w:pStyle w:val="Standard"/>
        <w:tabs>
          <w:tab w:val="clear" w:pos="720"/>
          <w:tab w:val="left" w:pos="993" w:leader="none"/>
        </w:tabs>
        <w:spacing w:lineRule="auto" w:line="240" w:before="0" w:after="0"/>
        <w:ind w:firstLine="567"/>
        <w:jc w:val="both"/>
        <w:rPr>
          <w:lang w:val="lt-LT"/>
        </w:rPr>
      </w:pPr>
      <w:r>
        <w:rPr>
          <w:rFonts w:cs="Calibri"/>
          <w:lang w:val="lt-LT"/>
        </w:rPr>
        <w:t xml:space="preserve">1.1. Perkančioji organizacija – </w:t>
      </w:r>
      <w:r>
        <w:rPr>
          <w:rFonts w:eastAsia="Calibri" w:cs="Calibri"/>
          <w:lang w:val="lt-LT"/>
        </w:rPr>
        <w:t xml:space="preserve">Prienų rajono pirminės sveikatos priežiūros centras (PSPC), juridinio asmens kodas 190882171 , adresas Pušyno g. 4 , Prienai. </w:t>
      </w:r>
      <w:r>
        <w:rPr>
          <w:rFonts w:eastAsia="Calibri" w:cs="Calibri"/>
          <w:lang w:val="lt-LT" w:eastAsia="en-US"/>
        </w:rPr>
        <w:t>Perkančioji organizacija nėra PVM mokėtoja</w:t>
      </w:r>
      <w:r>
        <w:rPr>
          <w:rFonts w:eastAsia="Calibri" w:cs="Calibri"/>
          <w:lang w:val="lt-LT"/>
        </w:rPr>
        <w:t>.</w:t>
      </w:r>
    </w:p>
    <w:p>
      <w:pPr>
        <w:pStyle w:val="Standard"/>
        <w:tabs>
          <w:tab w:val="clear" w:pos="720"/>
          <w:tab w:val="left" w:pos="993" w:leader="none"/>
        </w:tabs>
        <w:spacing w:lineRule="auto" w:line="240" w:before="0" w:after="0"/>
        <w:ind w:firstLine="567"/>
        <w:jc w:val="both"/>
        <w:rPr>
          <w:lang w:val="lt-LT"/>
        </w:rPr>
      </w:pPr>
      <w:r>
        <w:rPr>
          <w:rFonts w:eastAsia="Calibri" w:cs="Calibri"/>
          <w:lang w:val="lt-LT"/>
        </w:rPr>
        <w:t xml:space="preserve">1.2. Pirkimą perkančiosios organizacijos vardu atlieka įgaliotoji organizacija </w:t>
      </w:r>
      <w:r>
        <w:rPr>
          <w:rFonts w:eastAsia="Calibri" w:cs="Calibri"/>
          <w:color w:val="000000"/>
          <w:lang w:val="lt-LT"/>
        </w:rPr>
        <w:t>Prienų rajono savivaldybės administracija</w:t>
      </w:r>
      <w:r>
        <w:rPr>
          <w:rFonts w:eastAsia="Calibri" w:cs="Calibri"/>
          <w:lang w:val="lt-LT"/>
        </w:rPr>
        <w:t>, veikianti pagal Prienų rajono pirminės sveikatos priežiūros centro direktoriaus 2024-09-25 įgaliojimą Nr. S-91. Sutartį su laimėjusiu tiekėju pasirašys Perkančioji organizacija.</w:t>
      </w:r>
    </w:p>
    <w:p>
      <w:pPr>
        <w:pStyle w:val="Standard"/>
        <w:tabs>
          <w:tab w:val="clear" w:pos="720"/>
          <w:tab w:val="left" w:pos="993" w:leader="none"/>
        </w:tabs>
        <w:spacing w:lineRule="auto" w:line="240" w:before="0" w:after="0"/>
        <w:ind w:firstLine="567"/>
        <w:jc w:val="both"/>
        <w:rPr>
          <w:lang w:val="lt-LT"/>
        </w:rPr>
      </w:pPr>
      <w:r>
        <w:rPr>
          <w:rFonts w:eastAsia="Calibri" w:cs="Calibri"/>
          <w:lang w:val="lt-LT"/>
        </w:rPr>
        <w:t xml:space="preserve">1.3. Pirkimas vykdomas įgyvendinant projektą „Psichiatrijos dienos stacionaro paslaugų prieinamumo gerinimas Prienų rajono savivaldybėje“ Nr. 09-019-P-0025, kuris vykdomas pagal 2022–2030 metų plėtros programos valdytojos Lietuvos Respublikos sveikatos apsaugos ministerijos sveikatos priežiūros kokybės ir efektyvumo didinimo plėtros programos pažangos priemonę Nr. 11-002-02-11-01 „Gerinti sveikatos priežiūros paslaugų kokybę ir prieinamumą“. Projektas finansuojamas ES, Lietuvos Respublikos valstybės biudžeto ir Prienų rajono savivaldybės biudžeto lėšomis. </w:t>
      </w:r>
    </w:p>
    <w:p>
      <w:pPr>
        <w:pStyle w:val="Standard"/>
        <w:tabs>
          <w:tab w:val="clear" w:pos="720"/>
          <w:tab w:val="left" w:pos="993" w:leader="none"/>
        </w:tabs>
        <w:spacing w:lineRule="auto" w:line="240" w:before="0" w:after="0"/>
        <w:ind w:firstLine="567"/>
        <w:jc w:val="both"/>
        <w:rPr>
          <w:lang w:val="lt-LT"/>
        </w:rPr>
      </w:pPr>
      <w:r>
        <w:rPr>
          <w:rFonts w:eastAsia="Calibri" w:cs="Calibri"/>
          <w:lang w:val="lt-LT"/>
        </w:rPr>
        <w:t xml:space="preserve">1.4. </w:t>
      </w:r>
      <w:r>
        <w:rPr>
          <w:color w:val="000000"/>
          <w:lang w:val="lt-LT"/>
        </w:rPr>
        <w:t>Pirkimas neatliekamas naudojantis centralizuotų pirkimų katalogu, nes pastato rekonstravimo darbų CPO kataloge nėra.</w:t>
      </w:r>
    </w:p>
    <w:p>
      <w:pPr>
        <w:pStyle w:val="Standard"/>
        <w:spacing w:lineRule="auto" w:line="240" w:before="0" w:after="0"/>
        <w:ind w:firstLine="567"/>
        <w:rPr>
          <w:lang w:val="lt-LT"/>
        </w:rPr>
      </w:pPr>
      <w:r>
        <w:rPr>
          <w:rFonts w:cs="Calibri"/>
          <w:lang w:val="lt-LT"/>
        </w:rPr>
        <w:t xml:space="preserve">1.5. </w:t>
      </w:r>
      <w:r>
        <w:rPr>
          <w:rFonts w:eastAsia="Times New Roman" w:cs="Calibri"/>
          <w:lang w:val="lt-LT"/>
        </w:rPr>
        <w:t>Perkančioji organizacija nerezervuoja teisės dalyvauti pirkime.</w:t>
      </w:r>
    </w:p>
    <w:p>
      <w:pPr>
        <w:pStyle w:val="ListParagraph"/>
        <w:spacing w:lineRule="auto" w:line="240" w:before="0" w:after="0"/>
        <w:ind w:firstLine="567" w:left="0"/>
        <w:jc w:val="both"/>
        <w:rPr>
          <w:lang w:val="lt-LT"/>
        </w:rPr>
      </w:pPr>
      <w:r>
        <w:rPr>
          <w:rFonts w:cs="Calibri"/>
          <w:lang w:val="lt-LT"/>
        </w:rPr>
        <w:t>1.6. Stebėtojai dalyvauti Komisijos posėdžiuose nėra kviečiami.</w:t>
      </w:r>
    </w:p>
    <w:p>
      <w:pPr>
        <w:pStyle w:val="ListParagraph"/>
        <w:spacing w:lineRule="auto" w:line="240" w:before="0" w:after="0"/>
        <w:ind w:firstLine="567" w:left="0"/>
        <w:jc w:val="both"/>
        <w:rPr>
          <w:lang w:val="lt-LT"/>
        </w:rPr>
      </w:pPr>
      <w:r>
        <w:rPr>
          <w:rFonts w:cs="Calibri"/>
          <w:lang w:val="lt-LT"/>
        </w:rPr>
        <w:t xml:space="preserve">1.7. Atliekamas žaliasis pirkimas. Pirkimas vykdomas vadovaujantis </w:t>
      </w:r>
      <w:r>
        <w:rPr>
          <w:color w:val="000000"/>
          <w:lang w:val="lt-LT"/>
        </w:rPr>
        <w:t xml:space="preserve">Aplinkos apsaugos kriterijų taikymo, vykdant žaliuosius pirkimus, tvarkos aprašo (toliau – Aprašas), patvirtinto </w:t>
      </w:r>
      <w:r>
        <w:rPr>
          <w:rFonts w:cs="Calibri"/>
          <w:lang w:val="lt-LT"/>
        </w:rPr>
        <w:t xml:space="preserve">Lietuvos Respublikos aplinkos ministro 2011 m. birželio 28 d. įsakymu Nr. D1-508 „Dėl Aplinkos apsaugos kriterijų taikymo, vykdant žaliuosius pirkimus, tvarkos aprašo patvirtinimo“, </w:t>
      </w:r>
      <w:r>
        <w:rPr>
          <w:lang w:val="lt-LT"/>
        </w:rPr>
        <w:t xml:space="preserve">4.1 punktu. Vykdant Prienų PSPC rekonstravimo darbus turi būti taikomi Aprašo 2 priedo XII skyriaus „Pastatų projektavimo paslaugos ir statybos darbai“ 15.1 ir 15.2 papunkčiuose nustatyti reikalavimai: projekte </w:t>
      </w:r>
      <w:r>
        <w:rPr>
          <w:color w:val="000000"/>
          <w:lang w:val="lt-LT"/>
        </w:rPr>
        <w:t>turi būti numatyta, kad statyboje naudojamos statybinės medžiagos atitiktų minimalius aplinkos apsaugos kriterijus (XIII skyrius „Statybinės medžiagos“);</w:t>
      </w:r>
      <w:r>
        <w:rPr>
          <w:lang w:val="lt-LT"/>
        </w:rPr>
        <w:t xml:space="preserve"> tiekėjas teikiamoms projektavimo paslaugoms ir atliekamiems statybos darbams 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Aplinkos apsaugos kriterijai nustatyti kituose reikalavimuose tiekėjams (pvz. ISO, EMAS standartai) ir sutarties vykdymo sąlygose (8 priedas „Sutarties  projektas“).</w:t>
      </w:r>
    </w:p>
    <w:p>
      <w:pPr>
        <w:pStyle w:val="ListParagraph"/>
        <w:spacing w:lineRule="auto" w:line="240" w:before="0" w:after="0"/>
        <w:ind w:firstLine="567" w:left="0"/>
        <w:jc w:val="both"/>
        <w:rPr>
          <w:lang w:val="lt-LT"/>
        </w:rPr>
      </w:pPr>
      <w:r>
        <w:rPr>
          <w:lang w:val="lt-LT"/>
        </w:rPr>
        <w:t xml:space="preserve">1.8. </w:t>
      </w:r>
      <w:r>
        <w:rPr>
          <w:rFonts w:eastAsia="Arial"/>
          <w:lang w:val="lt-LT"/>
        </w:rPr>
        <w:t>Išankstinis skelbimas apie pirkimą nebuvo paskelbtas.</w:t>
      </w:r>
    </w:p>
    <w:p>
      <w:pPr>
        <w:pStyle w:val="ListParagraph"/>
        <w:spacing w:lineRule="auto" w:line="240" w:before="0" w:after="0"/>
        <w:ind w:firstLine="567" w:left="0"/>
        <w:jc w:val="both"/>
        <w:rPr>
          <w:lang w:val="lt-LT"/>
        </w:rPr>
      </w:pPr>
      <w:r>
        <w:rPr>
          <w:rFonts w:eastAsia="Arial"/>
          <w:lang w:val="lt-LT"/>
        </w:rPr>
        <w:t xml:space="preserve">1.9. </w:t>
      </w:r>
      <w:r>
        <w:rPr>
          <w:rFonts w:cs="Calibri"/>
          <w:lang w:val="lt-LT" w:eastAsia="en-US"/>
        </w:rPr>
        <w:t xml:space="preserve">Pirkime </w:t>
      </w:r>
      <w:r>
        <w:rPr>
          <w:rFonts w:cs="Calibri"/>
          <w:lang w:val="lt-LT"/>
        </w:rPr>
        <w:t>perkančioji organizacija</w:t>
      </w:r>
      <w:r>
        <w:rPr>
          <w:rFonts w:cs="Calibri"/>
          <w:lang w:val="lt-LT" w:eastAsia="en-US"/>
        </w:rPr>
        <w:t xml:space="preserve"> nenumato skelbti pranešimo dėl savanoriško </w:t>
      </w:r>
      <w:r>
        <w:rPr>
          <w:rFonts w:cs="Calibri"/>
          <w:i/>
          <w:iCs/>
          <w:lang w:val="lt-LT" w:eastAsia="en-US"/>
        </w:rPr>
        <w:t>ex ante</w:t>
      </w:r>
      <w:r>
        <w:rPr>
          <w:rFonts w:cs="Calibri"/>
          <w:lang w:val="lt-LT" w:eastAsia="en-US"/>
        </w:rPr>
        <w:t xml:space="preserve"> skaidrumo.</w:t>
      </w:r>
    </w:p>
    <w:p>
      <w:pPr>
        <w:pStyle w:val="ListParagraph"/>
        <w:spacing w:lineRule="auto" w:line="240" w:before="0" w:after="0"/>
        <w:ind w:firstLine="567" w:left="0"/>
        <w:jc w:val="both"/>
        <w:rPr>
          <w:lang w:val="lt-LT"/>
        </w:rPr>
      </w:pPr>
      <w:r>
        <w:rPr>
          <w:rFonts w:cs="Calibri"/>
          <w:lang w:val="lt-LT" w:eastAsia="en-US"/>
        </w:rPr>
        <w:t xml:space="preserve">1.10. </w:t>
      </w:r>
      <w:r>
        <w:rPr>
          <w:rFonts w:cs="Calibri"/>
          <w:lang w:val="lt-LT"/>
        </w:rPr>
        <w:t>Pirkime neleidžiama pateikti alternatyvių pasiūlymų.</w:t>
      </w:r>
    </w:p>
    <w:p>
      <w:pPr>
        <w:pStyle w:val="ListParagraph"/>
        <w:spacing w:lineRule="auto" w:line="240" w:before="0" w:after="0"/>
        <w:ind w:firstLine="567" w:left="0"/>
        <w:jc w:val="both"/>
        <w:rPr>
          <w:lang w:val="lt-LT"/>
        </w:rPr>
      </w:pPr>
      <w:r>
        <w:rPr>
          <w:rFonts w:cs="Calibri"/>
          <w:lang w:val="lt-LT"/>
        </w:rPr>
        <w:t xml:space="preserve">1.11. </w:t>
      </w:r>
      <w:r>
        <w:rPr>
          <w:rFonts w:eastAsia="Arial" w:cs="Calibri"/>
          <w:lang w:val="lt-LT"/>
        </w:rPr>
        <w:t>Bendrosios pirkimo sąlygos yra neatskiriama šių pirkimo sąlygų dalis.</w:t>
      </w:r>
    </w:p>
    <w:p>
      <w:pPr>
        <w:pStyle w:val="ListParagraph"/>
        <w:spacing w:lineRule="auto" w:line="240" w:before="0" w:after="0"/>
        <w:ind w:firstLine="567" w:left="0"/>
        <w:jc w:val="both"/>
        <w:rPr/>
      </w:pPr>
      <w:r>
        <w:rPr>
          <w:rFonts w:eastAsia="Arial" w:cs="Calibri"/>
          <w:lang w:val="lt-LT"/>
        </w:rPr>
        <w:t xml:space="preserve">1.12. </w:t>
      </w:r>
      <w:r>
        <w:rPr>
          <w:rFonts w:eastAsia="Arial" w:cs="Times New Roman"/>
          <w:lang w:val="lt-LT"/>
        </w:rPr>
        <w:t xml:space="preserve">Tiesioginį ryšį su tiekėjais įgalioti palaikyti perkančiosios organizacijos atstovai: </w:t>
      </w:r>
      <w:r>
        <w:rPr>
          <w:rFonts w:eastAsia="Arial" w:cs="Times New Roman"/>
          <w:iCs/>
          <w:lang w:val="lt-LT"/>
        </w:rPr>
        <w:t>dėl pirkimo procedūrų – Linutė Mikušauskienė</w:t>
      </w:r>
      <w:r>
        <w:rPr>
          <w:rFonts w:eastAsia="Arial" w:cs="Times New Roman"/>
          <w:lang w:val="lt-LT"/>
        </w:rPr>
        <w:t xml:space="preserve">, Statybos ir ekonominės plėtros skyriaus vyriausioji specialistė, tel. +370 319 61121, el. paštas </w:t>
      </w:r>
      <w:r>
        <w:rPr>
          <w:rFonts w:eastAsia="Arial" w:cs="Times New Roman"/>
          <w:color w:val="000000"/>
          <w:lang w:val="lt-LT"/>
        </w:rPr>
        <w:t>linute.mikusauskiene</w:t>
      </w:r>
      <w:hyperlink r:id="rId2">
        <w:r>
          <w:rPr>
            <w:rFonts w:eastAsia="Arial Unicode MS" w:cs="Calibri"/>
            <w:color w:val="000000"/>
            <w:lang w:val="lt-LT"/>
          </w:rPr>
          <w:t>@prienai.lt</w:t>
        </w:r>
      </w:hyperlink>
    </w:p>
    <w:p>
      <w:pPr>
        <w:pStyle w:val="ListParagraph"/>
        <w:spacing w:lineRule="auto" w:line="240" w:before="0" w:after="0"/>
        <w:ind w:firstLine="567" w:left="0"/>
        <w:jc w:val="both"/>
        <w:rPr>
          <w:lang w:val="lt-LT"/>
        </w:rPr>
      </w:pPr>
      <w:r>
        <w:rPr>
          <w:lang w:val="lt-LT"/>
        </w:rPr>
      </w:r>
    </w:p>
    <w:p>
      <w:pPr>
        <w:pStyle w:val="Heading1"/>
        <w:spacing w:lineRule="atLeast" w:line="20"/>
        <w:rPr>
          <w:lang w:val="lt-LT"/>
        </w:rPr>
      </w:pPr>
      <w:bookmarkStart w:id="2" w:name="_Ref39426338"/>
      <w:bookmarkStart w:id="3" w:name="_Ref39426332"/>
      <w:bookmarkStart w:id="4" w:name="_Toc170854164"/>
      <w:bookmarkStart w:id="5" w:name="_Toc335201954"/>
      <w:bookmarkEnd w:id="5"/>
      <w:r>
        <w:rPr>
          <w:rFonts w:cs="Calibri" w:ascii="Calibri" w:hAnsi="Calibri"/>
          <w:lang w:val="lt-LT"/>
        </w:rPr>
        <w:t>2</w:t>
      </w:r>
      <w:r>
        <w:rPr>
          <w:lang w:val="lt-LT"/>
        </w:rPr>
        <w:t xml:space="preserve">. </w:t>
      </w:r>
      <w:r>
        <w:rPr>
          <w:rFonts w:cs="Calibri" w:ascii="Calibri" w:hAnsi="Calibri"/>
          <w:lang w:val="lt-LT"/>
        </w:rPr>
        <w:t>Pirkimo objektas</w:t>
      </w:r>
      <w:bookmarkEnd w:id="2"/>
      <w:bookmarkEnd w:id="3"/>
      <w:bookmarkEnd w:id="4"/>
    </w:p>
    <w:p>
      <w:pPr>
        <w:pStyle w:val="NoSpacing"/>
        <w:tabs>
          <w:tab w:val="clear" w:pos="720"/>
          <w:tab w:val="left" w:pos="993" w:leader="none"/>
        </w:tabs>
        <w:ind w:firstLine="562"/>
        <w:jc w:val="both"/>
        <w:rPr>
          <w:lang w:val="lt-LT"/>
        </w:rPr>
      </w:pPr>
      <w:r>
        <w:rPr>
          <w:rFonts w:eastAsia="Calibri"/>
          <w:color w:val="000000"/>
          <w:lang w:val="lt-LT"/>
        </w:rPr>
        <w:t xml:space="preserve">2.1. Perkančioji organizacija numato įsigyti </w:t>
      </w:r>
      <w:r>
        <w:rPr>
          <w:rFonts w:eastAsia="Times New Roman" w:cs="Calibri"/>
          <w:color w:val="000000"/>
          <w:lang w:val="lt-LT"/>
        </w:rPr>
        <w:t xml:space="preserve">Prienų r. </w:t>
      </w:r>
      <w:r>
        <w:rPr>
          <w:rFonts w:eastAsia="Calibri" w:cs="Calibri"/>
          <w:color w:val="000000"/>
          <w:lang w:val="lt-LT"/>
        </w:rPr>
        <w:t xml:space="preserve">PSPC </w:t>
      </w:r>
      <w:r>
        <w:rPr>
          <w:rFonts w:eastAsia="Calibri"/>
          <w:color w:val="000000"/>
          <w:lang w:val="lt-LT"/>
        </w:rPr>
        <w:t xml:space="preserve">rekonstravimo darbus. </w:t>
      </w:r>
      <w:r>
        <w:rPr>
          <w:rFonts w:cs="Calibri"/>
          <w:lang w:val="lt-LT"/>
        </w:rPr>
        <w:t>Reikalavimai pirkimo objektui nustatyti specialiųjų pirkimo sąlygų 2 priede „Techninė specifikacija“ ir 9 priede Techniniame projekte „Gydymo paskirties pastato, Revuonos g. 4, Prienai, rekonstravimo projektas “.</w:t>
      </w:r>
    </w:p>
    <w:p>
      <w:pPr>
        <w:pStyle w:val="NoSpacing"/>
        <w:tabs>
          <w:tab w:val="clear" w:pos="720"/>
          <w:tab w:val="left" w:pos="993" w:leader="none"/>
        </w:tabs>
        <w:ind w:firstLine="562"/>
        <w:jc w:val="both"/>
        <w:rPr>
          <w:lang w:val="lt-LT"/>
        </w:rPr>
      </w:pPr>
      <w:r>
        <w:rPr>
          <w:rFonts w:cs="Calibri"/>
          <w:lang w:val="lt-LT"/>
        </w:rPr>
        <w:t xml:space="preserve">2.2. </w:t>
      </w:r>
      <w:bookmarkStart w:id="6" w:name="_Hlk181956907"/>
      <w:r>
        <w:rPr>
          <w:rFonts w:cs="Calibri"/>
          <w:lang w:val="lt-LT"/>
        </w:rPr>
        <w:t>Pirkimo objektas į dalis neskaidomas, nes yra nedalus. Pirkimo apimtys, reikalavimai ir techninė specifikacija apibrėžti specialiųjų pirkimo sąlygų 2 priede „Techninė specifikacija“ ir 9 priede „Gydymo paskirties pastato, Revuonos g. 4, Prienai, rekonstravimo projektas“.</w:t>
      </w:r>
      <w:bookmarkEnd w:id="6"/>
    </w:p>
    <w:p>
      <w:pPr>
        <w:pStyle w:val="NoSpacing"/>
        <w:tabs>
          <w:tab w:val="clear" w:pos="720"/>
          <w:tab w:val="left" w:pos="993" w:leader="none"/>
        </w:tabs>
        <w:ind w:firstLine="562"/>
        <w:jc w:val="both"/>
        <w:rPr>
          <w:lang w:val="lt-LT"/>
        </w:rPr>
      </w:pPr>
      <w:r>
        <w:rPr>
          <w:rFonts w:cs="Calibri"/>
          <w:lang w:val="lt-LT"/>
        </w:rPr>
        <w:t xml:space="preserve">2.3. Jeigu apibūdinant pirkimo objektą techninėje specifikacijoje, </w:t>
      </w:r>
      <w:r>
        <w:rPr>
          <w:lang w:val="lt-LT"/>
        </w:rPr>
        <w:t xml:space="preserve">Techniniame projekte ar kituose pirkimo dokumentuose galimai nurodytas </w:t>
      </w:r>
      <w:r>
        <w:rPr>
          <w:rFonts w:cs="Calibri"/>
          <w:lang w:val="lt-LT"/>
        </w:rPr>
        <w:t xml:space="preserve">konkretus modelis ar tiekimo šaltinis, konkretus procesas, būdingas konkretaus tiekėjo tiekiamoms prekėms ar teikiamoms paslaugoms, ar prekių ženklas, patentas, tipai, konkreti kilmė ar gamyba,  </w:t>
      </w:r>
      <w:r>
        <w:rPr>
          <w:lang w:val="lt-LT"/>
        </w:rPr>
        <w:t xml:space="preserve">sertifikatai, standartai, protokolai, </w:t>
      </w:r>
      <w:r>
        <w:rPr>
          <w:rFonts w:cs="Calibri"/>
          <w:lang w:val="lt-LT"/>
        </w:rPr>
        <w:t>turi būti laikoma, kad kiekviena tokia nuoroda yra pateikta su žodžiais „arba lygiavertis“.</w:t>
      </w:r>
    </w:p>
    <w:p>
      <w:pPr>
        <w:pStyle w:val="NoSpacing"/>
        <w:tabs>
          <w:tab w:val="clear" w:pos="720"/>
          <w:tab w:val="left" w:pos="993" w:leader="none"/>
        </w:tabs>
        <w:ind w:firstLine="562"/>
        <w:jc w:val="both"/>
        <w:rPr>
          <w:lang w:val="lt-LT"/>
        </w:rPr>
      </w:pPr>
      <w:r>
        <w:rPr>
          <w:rFonts w:cs="Calibri"/>
          <w:lang w:val="lt-LT"/>
        </w:rPr>
        <w:t xml:space="preserve">2.4. Jeigu apibūdinant pirkimo objektą techninėje specifikacijoje, </w:t>
      </w:r>
      <w:r>
        <w:rPr>
          <w:lang w:val="lt-LT"/>
        </w:rPr>
        <w:t xml:space="preserve">Techniniame projekte ar kituose pirkimo dokumentuose </w:t>
      </w:r>
      <w:r>
        <w:rPr>
          <w:rFonts w:cs="Calibri"/>
          <w:lang w:val="lt-LT"/>
        </w:rPr>
        <w:t xml:space="preserve">nurodytas standartas, </w:t>
      </w:r>
      <w:r>
        <w:rPr>
          <w:color w:val="000000"/>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Calibri"/>
          <w:lang w:val="lt-LT"/>
        </w:rPr>
        <w:t>turi būti laikoma, kad kiekviena tokia nuoroda yra pateikta su žodžiais „arba lygiavertis“.</w:t>
      </w:r>
    </w:p>
    <w:p>
      <w:pPr>
        <w:pStyle w:val="Heading1"/>
        <w:rPr>
          <w:lang w:val="lt-LT"/>
        </w:rPr>
      </w:pPr>
      <w:bookmarkStart w:id="7" w:name="_Toc170854165"/>
      <w:r>
        <w:rPr>
          <w:rFonts w:cs="Calibri" w:ascii="Calibri" w:hAnsi="Calibri"/>
          <w:lang w:val="lt-LT"/>
        </w:rPr>
        <w:t xml:space="preserve">3. </w:t>
      </w:r>
      <w:bookmarkStart w:id="8" w:name="_Ref39740354"/>
      <w:bookmarkStart w:id="9" w:name="_Ref39427921"/>
      <w:bookmarkStart w:id="10" w:name="_Ref39427927"/>
      <w:r>
        <w:rPr>
          <w:rFonts w:cs="Calibri" w:ascii="Calibri" w:hAnsi="Calibri"/>
          <w:lang w:val="lt-LT"/>
        </w:rPr>
        <w:t>Susitikimai su tiekėjais</w:t>
      </w:r>
      <w:bookmarkEnd w:id="9"/>
      <w:bookmarkEnd w:id="10"/>
      <w:r>
        <w:rPr>
          <w:rFonts w:cs="Calibri" w:ascii="Calibri" w:hAnsi="Calibri"/>
          <w:lang w:val="lt-LT"/>
        </w:rPr>
        <w:t xml:space="preserve"> ir objekto apžiūra</w:t>
      </w:r>
      <w:bookmarkEnd w:id="7"/>
      <w:bookmarkEnd w:id="8"/>
    </w:p>
    <w:p>
      <w:pPr>
        <w:pStyle w:val="ListParagraph"/>
        <w:spacing w:lineRule="auto" w:line="240" w:before="0" w:after="0"/>
        <w:ind w:firstLine="567" w:left="0"/>
        <w:jc w:val="both"/>
        <w:rPr>
          <w:lang w:val="lt-LT"/>
        </w:rPr>
      </w:pPr>
      <w:r>
        <w:rPr>
          <w:rFonts w:cs="Calibri"/>
          <w:iCs/>
          <w:lang w:val="lt-LT"/>
        </w:rPr>
        <w:t>3.1.</w:t>
      </w:r>
      <w:r>
        <w:rPr>
          <w:rFonts w:cs="Calibri"/>
          <w:i/>
          <w:color w:val="FF0000"/>
          <w:lang w:val="lt-LT"/>
        </w:rPr>
        <w:t xml:space="preserve"> </w:t>
      </w:r>
      <w:r>
        <w:rPr>
          <w:rFonts w:cs="Calibri"/>
          <w:lang w:val="lt-LT"/>
        </w:rPr>
        <w:t>Perkančioji organizacija nerengs susitikimo su tiekėjais dėl pirkimo sąlygų paaiškinimo.</w:t>
      </w:r>
    </w:p>
    <w:p>
      <w:pPr>
        <w:pStyle w:val="ListParagraph"/>
        <w:spacing w:lineRule="auto" w:line="240" w:before="0" w:after="0"/>
        <w:ind w:firstLine="567" w:left="0"/>
        <w:jc w:val="both"/>
        <w:rPr>
          <w:lang w:val="lt-LT"/>
        </w:rPr>
      </w:pPr>
      <w:r>
        <w:rPr>
          <w:rFonts w:cs="Calibri"/>
          <w:lang w:val="lt-LT"/>
        </w:rPr>
        <w:t>3.2. Tiekėjai ne vėliau kaip 7 dienos iki pasiūlymų pateikimo termino pabaigos galės apžiūrėti darbų atlikimo vietą. Tiekėjai, norintys dalyvauti apžiūroje, turi susisiekti su Prienų r. PSPC atsakingu asmeniu tel. +370 652 04113.</w:t>
      </w:r>
      <w:r>
        <w:rPr>
          <w:rFonts w:cs="Calibri"/>
          <w:shd w:fill="FFFF00" w:val="clear"/>
          <w:lang w:val="lt-LT"/>
        </w:rPr>
        <w:t xml:space="preserve"> </w:t>
      </w:r>
      <w:r>
        <w:rPr>
          <w:rFonts w:cs="Calibri"/>
          <w:lang w:val="lt-LT"/>
        </w:rPr>
        <w:t>Apžiūros metu kilus neaiškumams, tiekėjas vadovaudamasis specialiųjų pirkimo sąlygų 1 priedo 3 punkte nustatyta tvarka gali kreiptis į perkančiąją organizaciją dėl papildomos su pirkimo dokumentais susijusios informacijos.</w:t>
      </w:r>
    </w:p>
    <w:p>
      <w:pPr>
        <w:pStyle w:val="Heading1"/>
        <w:spacing w:lineRule="atLeast" w:line="20"/>
        <w:rPr>
          <w:lang w:val="lt-LT"/>
        </w:rPr>
      </w:pPr>
      <w:bookmarkStart w:id="11" w:name="_Toc170854166"/>
      <w:bookmarkStart w:id="12" w:name="_Ref39473761"/>
      <w:bookmarkStart w:id="13" w:name="_Ref39473754"/>
      <w:bookmarkStart w:id="14" w:name="_Ref39474188"/>
      <w:r>
        <w:rPr>
          <w:rFonts w:cs="Calibri" w:ascii="Calibri" w:hAnsi="Calibri"/>
          <w:lang w:val="lt-LT"/>
        </w:rPr>
        <w:t>4. Tiekėjų pašalinimo pagrindai</w:t>
      </w:r>
      <w:bookmarkEnd w:id="12"/>
      <w:bookmarkEnd w:id="13"/>
      <w:bookmarkEnd w:id="14"/>
      <w:r>
        <w:rPr>
          <w:rFonts w:cs="Calibri" w:ascii="Calibri" w:hAnsi="Calibri"/>
          <w:lang w:val="lt-LT"/>
        </w:rPr>
        <w:t xml:space="preserve"> ir kvalifikacijos reikalavimai</w:t>
      </w:r>
      <w:bookmarkEnd w:id="11"/>
    </w:p>
    <w:p>
      <w:pPr>
        <w:pStyle w:val="ListParagraph"/>
        <w:spacing w:lineRule="atLeast" w:line="20" w:before="0" w:after="0"/>
        <w:ind w:firstLine="562" w:left="0"/>
        <w:jc w:val="both"/>
        <w:rPr>
          <w:lang w:val="lt-LT"/>
        </w:rPr>
      </w:pPr>
      <w:r>
        <w:rPr>
          <w:lang w:val="lt-LT"/>
        </w:rPr>
        <w:t>4.1. Reikalavimai dėl tiekėjo ir</w:t>
      </w:r>
      <w:bookmarkStart w:id="15" w:name="_Hlk41039660"/>
      <w:r>
        <w:rPr>
          <w:lang w:val="lt-LT"/>
        </w:rPr>
        <w:t xml:space="preserve"> ūkio subjektų, kurių pajėgumais tiekėjas remiasi, </w:t>
      </w:r>
      <w:bookmarkEnd w:id="15"/>
      <w:r>
        <w:rPr>
          <w:lang w:val="lt-LT"/>
        </w:rPr>
        <w:t xml:space="preserve">pašalinimo pagrindų nebuvimo bei jų nebuvimą patvirtinantys dokumentai nurodyti specialiųjų </w:t>
      </w:r>
      <w:r>
        <w:rPr>
          <w:rFonts w:eastAsia="Calibri"/>
          <w:lang w:val="lt-LT"/>
        </w:rPr>
        <w:t>pirkimo sąlygų 3 priede</w:t>
      </w:r>
      <w:r>
        <w:rPr>
          <w:rFonts w:eastAsia="Calibri" w:cs="Calibri"/>
          <w:lang w:val="lt-LT"/>
        </w:rPr>
        <w:t xml:space="preserve"> „Tiekėjų pašalinimo pagrindai“.</w:t>
      </w:r>
    </w:p>
    <w:p>
      <w:pPr>
        <w:pStyle w:val="ListParagraph"/>
        <w:tabs>
          <w:tab w:val="clear" w:pos="720"/>
          <w:tab w:val="left" w:pos="851" w:leader="none"/>
        </w:tabs>
        <w:spacing w:lineRule="atLeast" w:line="20" w:before="0" w:after="0"/>
        <w:ind w:firstLine="562" w:left="0"/>
        <w:jc w:val="both"/>
        <w:rPr>
          <w:lang w:val="lt-LT"/>
        </w:rPr>
      </w:pPr>
      <w:r>
        <w:rPr>
          <w:lang w:val="lt-LT"/>
        </w:rPr>
        <w:t xml:space="preserve">4.2. Tiekėjams nustatomi kvalifikacijos reikalavimai ir reikalavimai dėl aplinkos apsaugos vadybos sistemos standartų laikymosi ir jų atitiktį patvirtinantys dokumentai nurodyti specialiųjų pirkimo sąlygų 4 </w:t>
      </w:r>
      <w:r>
        <w:rPr>
          <w:rFonts w:cs="Calibri"/>
          <w:color w:val="000000"/>
          <w:lang w:val="lt-LT"/>
        </w:rPr>
        <w:t>priede „Tiekėjų kvalifikacijos reikalavimai ir reikalaujami aplinkos apsaugos vadybos sistemų standartai“.</w:t>
      </w:r>
    </w:p>
    <w:p>
      <w:pPr>
        <w:pStyle w:val="Heading1"/>
        <w:tabs>
          <w:tab w:val="clear" w:pos="720"/>
          <w:tab w:val="left" w:pos="567" w:leader="none"/>
        </w:tabs>
        <w:spacing w:before="360" w:after="0"/>
        <w:jc w:val="both"/>
        <w:rPr>
          <w:lang w:val="lt-LT"/>
        </w:rPr>
      </w:pPr>
      <w:bookmarkStart w:id="16" w:name="_Toc170854167"/>
      <w:r>
        <w:rPr>
          <w:rFonts w:cs="Calibri" w:ascii="Calibri" w:hAnsi="Calibri"/>
          <w:lang w:val="lt-LT"/>
        </w:rPr>
        <w:t>5. Reikalavimai, susiję su nacionaliniu saugumu</w:t>
      </w:r>
      <w:bookmarkEnd w:id="16"/>
    </w:p>
    <w:p>
      <w:pPr>
        <w:pStyle w:val="Standard"/>
        <w:spacing w:lineRule="auto" w:line="240" w:before="0" w:after="0"/>
        <w:ind w:firstLine="567"/>
        <w:jc w:val="both"/>
        <w:rPr>
          <w:rFonts w:cs="Calibri"/>
          <w:color w:val="000000"/>
          <w:lang w:val="lt-LT"/>
        </w:rPr>
      </w:pPr>
      <w:r>
        <w:rPr>
          <w:rFonts w:cs="Calibri"/>
          <w:color w:val="000000"/>
          <w:lang w:val="lt-LT"/>
        </w:rPr>
      </w:r>
    </w:p>
    <w:p>
      <w:pPr>
        <w:pStyle w:val="Standard"/>
        <w:spacing w:lineRule="auto" w:line="240" w:before="0" w:after="0"/>
        <w:ind w:firstLine="567"/>
        <w:jc w:val="both"/>
        <w:rPr>
          <w:lang w:val="lt-LT"/>
        </w:rPr>
      </w:pPr>
      <w:r>
        <w:rPr>
          <w:rFonts w:cs="Calibri"/>
          <w:color w:val="000000"/>
          <w:lang w:val="lt-LT"/>
        </w:rPr>
        <w:t xml:space="preserve">5.1. </w:t>
      </w:r>
      <w:bookmarkStart w:id="17" w:name="_Hlk181957398"/>
      <w:r>
        <w:rPr>
          <w:rFonts w:cs="Calibri"/>
          <w:color w:val="000000"/>
          <w:lang w:val="lt-LT"/>
        </w:rPr>
        <w:t>Pirkimui netaikomi reikalavimai, susiję su nacionaliniu saugumu.</w:t>
      </w:r>
      <w:bookmarkEnd w:id="17"/>
    </w:p>
    <w:p>
      <w:pPr>
        <w:pStyle w:val="Heading1"/>
        <w:spacing w:lineRule="atLeast" w:line="20"/>
        <w:rPr>
          <w:lang w:val="lt-LT"/>
        </w:rPr>
      </w:pPr>
      <w:bookmarkStart w:id="18" w:name="_Ref39666794"/>
      <w:bookmarkStart w:id="19" w:name="_Toc170854168"/>
      <w:bookmarkStart w:id="20" w:name="_Ref39666796"/>
      <w:r>
        <w:rPr>
          <w:rFonts w:ascii="Calibri" w:hAnsi="Calibri"/>
          <w:lang w:val="lt-LT"/>
        </w:rPr>
        <w:t>6. Specialieji reikalavimai pasiūlymų rengimui ir pateikimui</w:t>
      </w:r>
      <w:bookmarkEnd w:id="18"/>
      <w:bookmarkEnd w:id="19"/>
      <w:bookmarkEnd w:id="20"/>
    </w:p>
    <w:p>
      <w:pPr>
        <w:pStyle w:val="Standard"/>
        <w:spacing w:lineRule="atLeast" w:line="20" w:before="0" w:after="0"/>
        <w:ind w:firstLine="567"/>
        <w:jc w:val="both"/>
        <w:rPr>
          <w:lang w:val="lt-LT"/>
        </w:rPr>
      </w:pPr>
      <w:r>
        <w:rPr>
          <w:rFonts w:cs="Calibri"/>
          <w:lang w:val="lt-LT"/>
        </w:rPr>
        <w:t>6.1. Tiekėjo pasiūlymą sudaro CVP IS pateikiamų ir žemiau nurodytų dokumentų visuma:</w:t>
      </w:r>
    </w:p>
    <w:p>
      <w:pPr>
        <w:pStyle w:val="ListParagraph"/>
        <w:numPr>
          <w:ilvl w:val="2"/>
          <w:numId w:val="2"/>
        </w:numPr>
        <w:tabs>
          <w:tab w:val="clear" w:pos="720"/>
          <w:tab w:val="left" w:pos="851" w:leader="none"/>
          <w:tab w:val="left" w:pos="1134" w:leader="none"/>
        </w:tabs>
        <w:spacing w:lineRule="auto" w:line="240" w:before="0" w:after="0"/>
        <w:ind w:firstLine="567" w:left="0"/>
        <w:jc w:val="both"/>
        <w:rPr>
          <w:lang w:val="lt-LT"/>
        </w:rPr>
      </w:pPr>
      <w:r>
        <w:rPr>
          <w:lang w:val="lt-LT"/>
        </w:rPr>
        <w:t>tiekėjo pasirašytas pasiūlymas, parengtas pagal specialiųjų pirkimo sąlygų 6 priede „Pasiūlymo forma“</w:t>
      </w:r>
      <w:r>
        <w:rPr>
          <w:rFonts w:cs="Calibri"/>
          <w:lang w:val="lt-LT"/>
        </w:rPr>
        <w:t>;</w:t>
      </w:r>
    </w:p>
    <w:p>
      <w:pPr>
        <w:pStyle w:val="ListParagraph"/>
        <w:numPr>
          <w:ilvl w:val="2"/>
          <w:numId w:val="2"/>
        </w:numPr>
        <w:tabs>
          <w:tab w:val="clear" w:pos="720"/>
          <w:tab w:val="left" w:pos="851" w:leader="none"/>
          <w:tab w:val="left" w:pos="1134" w:leader="none"/>
        </w:tabs>
        <w:spacing w:lineRule="auto" w:line="240" w:before="0" w:after="0"/>
        <w:ind w:firstLine="567" w:left="0"/>
        <w:jc w:val="both"/>
        <w:rPr>
          <w:lang w:val="lt-LT"/>
        </w:rPr>
      </w:pPr>
      <w:r>
        <w:rPr>
          <w:rFonts w:cs="Calibri"/>
          <w:lang w:val="lt-LT"/>
        </w:rPr>
        <w:t>užpildytas EBVPD (specialiųjų pirkimo sąlygų 5 priedas „EBVPD“ (XML formatu)). Pasirašydamas pasiūlymą, tiekėjas patvirtina ir EBVPD tikrumą;</w:t>
      </w:r>
    </w:p>
    <w:p>
      <w:pPr>
        <w:pStyle w:val="ListParagraph"/>
        <w:numPr>
          <w:ilvl w:val="2"/>
          <w:numId w:val="2"/>
        </w:numPr>
        <w:tabs>
          <w:tab w:val="clear" w:pos="720"/>
          <w:tab w:val="left" w:pos="851" w:leader="none"/>
          <w:tab w:val="left" w:pos="1134" w:leader="none"/>
        </w:tabs>
        <w:spacing w:lineRule="auto" w:line="240" w:before="0" w:after="0"/>
        <w:ind w:firstLine="567" w:left="0"/>
        <w:jc w:val="both"/>
        <w:rPr>
          <w:lang w:val="lt-LT"/>
        </w:rPr>
      </w:pPr>
      <w:r>
        <w:rPr>
          <w:rFonts w:cs="Calibri"/>
          <w:lang w:val="lt-LT"/>
        </w:rPr>
        <w:t>jungtinės veiklos sutarties kopija (jeigu pirkime dalyvauja ūkio subjektų grupė jungtinės veiklos sutarties pagrindu);</w:t>
      </w:r>
    </w:p>
    <w:p>
      <w:pPr>
        <w:pStyle w:val="ListParagraph"/>
        <w:numPr>
          <w:ilvl w:val="2"/>
          <w:numId w:val="2"/>
        </w:numPr>
        <w:tabs>
          <w:tab w:val="clear" w:pos="720"/>
          <w:tab w:val="left" w:pos="851" w:leader="none"/>
          <w:tab w:val="left" w:pos="1134" w:leader="none"/>
        </w:tabs>
        <w:spacing w:lineRule="auto" w:line="240" w:before="0" w:after="0"/>
        <w:ind w:firstLine="567" w:left="0"/>
        <w:jc w:val="both"/>
        <w:rPr>
          <w:lang w:val="lt-LT"/>
        </w:rPr>
      </w:pPr>
      <w:r>
        <w:rPr>
          <w:rFonts w:cs="Calibri"/>
          <w:lang w:val="lt-LT"/>
        </w:rPr>
        <w:t>dokumentas, patvirtinantis, kad asmuo, kuris pasirašė pasiūlymą (jei jis ne tiekėjo vadovas), turėjo teisę jį pasirašyti;</w:t>
      </w:r>
    </w:p>
    <w:p>
      <w:pPr>
        <w:pStyle w:val="ListParagraph"/>
        <w:numPr>
          <w:ilvl w:val="2"/>
          <w:numId w:val="2"/>
        </w:numPr>
        <w:tabs>
          <w:tab w:val="clear" w:pos="720"/>
          <w:tab w:val="left" w:pos="851" w:leader="none"/>
          <w:tab w:val="left" w:pos="1134" w:leader="none"/>
          <w:tab w:val="left" w:pos="1276" w:leader="none"/>
        </w:tabs>
        <w:spacing w:lineRule="auto" w:line="240" w:before="0" w:after="0"/>
        <w:ind w:firstLine="567" w:left="0"/>
        <w:jc w:val="both"/>
        <w:rPr>
          <w:lang w:val="lt-LT"/>
        </w:rPr>
      </w:pPr>
      <w:r>
        <w:rPr>
          <w:rFonts w:cs="Calibri"/>
          <w:lang w:val="lt-LT"/>
        </w:rPr>
        <w:t>pasiūlymo galiojimą užtikrinantis dokumentas;</w:t>
      </w:r>
    </w:p>
    <w:p>
      <w:pPr>
        <w:pStyle w:val="ListParagraph"/>
        <w:numPr>
          <w:ilvl w:val="2"/>
          <w:numId w:val="2"/>
        </w:numPr>
        <w:tabs>
          <w:tab w:val="clear" w:pos="720"/>
          <w:tab w:val="left" w:pos="851" w:leader="none"/>
          <w:tab w:val="left" w:pos="1134" w:leader="none"/>
        </w:tabs>
        <w:spacing w:lineRule="auto" w:line="240" w:before="0" w:after="0"/>
        <w:ind w:firstLine="567" w:left="0"/>
        <w:jc w:val="both"/>
        <w:rPr>
          <w:lang w:val="lt-LT"/>
        </w:rPr>
      </w:pPr>
      <w:r>
        <w:rPr>
          <w:rFonts w:cs="Calibri"/>
          <w:lang w:val="lt-LT"/>
        </w:rPr>
        <w:t>jei tiekėjas pasitelkia ūkio subjektus, kurių pajėgumais remiasi, – įrodymai, kad šie ištekliai bus prieinami per visą sutartinių įsipareigojimų vykdymo laikotarpį;</w:t>
      </w:r>
    </w:p>
    <w:p>
      <w:pPr>
        <w:pStyle w:val="ListParagraph"/>
        <w:numPr>
          <w:ilvl w:val="2"/>
          <w:numId w:val="2"/>
        </w:numPr>
        <w:tabs>
          <w:tab w:val="clear" w:pos="720"/>
          <w:tab w:val="left" w:pos="851" w:leader="none"/>
          <w:tab w:val="left" w:pos="1134" w:leader="none"/>
        </w:tabs>
        <w:spacing w:lineRule="auto" w:line="240" w:before="0" w:after="0"/>
        <w:ind w:firstLine="630" w:left="0"/>
        <w:jc w:val="both"/>
        <w:rPr>
          <w:lang w:val="lt-LT"/>
        </w:rPr>
      </w:pPr>
      <w:r>
        <w:rPr>
          <w:rFonts w:cs="Calibri"/>
          <w:lang w:val="lt-LT"/>
        </w:rPr>
        <w:t>jei tiekėjas pasitelkia subtiekėjus, subtiekėjo deklaracija ar kitas dokumentas, patvirtinantis jo sutikimą būti subtiekėju pirkime;</w:t>
      </w:r>
    </w:p>
    <w:p>
      <w:pPr>
        <w:pStyle w:val="ListParagraph"/>
        <w:numPr>
          <w:ilvl w:val="2"/>
          <w:numId w:val="2"/>
        </w:numPr>
        <w:tabs>
          <w:tab w:val="clear" w:pos="720"/>
          <w:tab w:val="left" w:pos="851" w:leader="none"/>
          <w:tab w:val="left" w:pos="1134" w:leader="none"/>
        </w:tabs>
        <w:spacing w:lineRule="auto" w:line="240" w:before="0" w:after="0"/>
        <w:ind w:firstLine="567" w:left="0"/>
        <w:jc w:val="both"/>
        <w:rPr>
          <w:lang w:val="lt-LT"/>
        </w:rPr>
      </w:pPr>
      <w:r>
        <w:rPr>
          <w:rFonts w:eastAsia="Calibri"/>
          <w:lang w:val="lt-LT"/>
        </w:rPr>
        <w:t>įkainotų veiklų (darbų grupių) sąrašas, užpildytas pagal specialiųjų pirkimo sąlygų 10 priedą.</w:t>
      </w:r>
    </w:p>
    <w:p>
      <w:pPr>
        <w:pStyle w:val="ListParagraph"/>
        <w:tabs>
          <w:tab w:val="clear" w:pos="720"/>
          <w:tab w:val="left" w:pos="851" w:leader="none"/>
          <w:tab w:val="left" w:pos="1134" w:leader="none"/>
        </w:tabs>
        <w:spacing w:lineRule="auto" w:line="240" w:before="0" w:after="0"/>
        <w:ind w:firstLine="540" w:left="0"/>
        <w:jc w:val="both"/>
        <w:rPr>
          <w:lang w:val="lt-LT"/>
        </w:rPr>
      </w:pPr>
      <w:r>
        <w:rPr>
          <w:rFonts w:eastAsia="Calibri"/>
          <w:lang w:val="lt-LT"/>
        </w:rPr>
        <w:t xml:space="preserve"> </w:t>
      </w:r>
      <w:r>
        <w:rPr>
          <w:rFonts w:cs="Calibri"/>
          <w:lang w:val="lt-LT"/>
        </w:rPr>
        <w:t xml:space="preserve">6.2. </w:t>
      </w:r>
      <w:r>
        <w:rPr>
          <w:rFonts w:eastAsia="Calibri" w:cs="Calibri"/>
          <w:lang w:val="lt-LT"/>
        </w:rPr>
        <w:t>Pasiūlymas gali būti pasirašytas fiziniu parašu arba kvalifikuotu elektroniniu parašu. Jeigu tiekėjas dokumentus tvirtina naudodamas elektroninį,</w:t>
      </w:r>
      <w:r>
        <w:rPr>
          <w:rFonts w:eastAsia="Calibri"/>
          <w:lang w:val="lt-LT"/>
        </w:rPr>
        <w:t xml:space="preserve"> o ne fizinį parašą, elektroninis parašas turi atitikti VPĮ 22 straipsnio 11 dalies 2 ir 3 punktuose nustatytus reikalavimus. </w:t>
      </w:r>
      <w:r>
        <w:rPr>
          <w:lang w:val="lt-LT"/>
        </w:rPr>
        <w:t>Perkančiajai organizacijai kilus abejonių dėl dokumentų tikrumo, ji turi teisę reikalauti pateikti dokumentų originalus.</w:t>
      </w:r>
      <w:r>
        <w:rPr>
          <w:rFonts w:eastAsia="Calibri"/>
          <w:lang w:val="lt-LT"/>
        </w:rPr>
        <w:t xml:space="preserve"> Gali būti:</w:t>
      </w:r>
    </w:p>
    <w:p>
      <w:pPr>
        <w:pStyle w:val="Standard"/>
        <w:tabs>
          <w:tab w:val="clear" w:pos="720"/>
          <w:tab w:val="left" w:pos="1276" w:leader="none"/>
        </w:tabs>
        <w:spacing w:lineRule="auto" w:line="240" w:before="0" w:after="0"/>
        <w:ind w:firstLine="567"/>
        <w:jc w:val="both"/>
        <w:rPr>
          <w:lang w:val="lt-LT"/>
        </w:rPr>
      </w:pPr>
      <w:r>
        <w:rPr>
          <w:rFonts w:eastAsia="Calibri" w:cs="Calibri"/>
          <w:bCs/>
          <w:iCs/>
          <w:lang w:val="lt-LT"/>
        </w:rPr>
        <w:t>6.2.1 pateikiami kvalifikuotu elektroniniu parašu pasirašyti elektroninėmis priemonėmis suformuoti dokumentai;</w:t>
      </w:r>
    </w:p>
    <w:p>
      <w:pPr>
        <w:pStyle w:val="Standard"/>
        <w:tabs>
          <w:tab w:val="clear" w:pos="720"/>
          <w:tab w:val="left" w:pos="1276" w:leader="none"/>
        </w:tabs>
        <w:spacing w:lineRule="auto" w:line="240" w:before="0" w:after="0"/>
        <w:ind w:firstLine="567"/>
        <w:jc w:val="both"/>
        <w:rPr>
          <w:lang w:val="lt-LT"/>
        </w:rPr>
      </w:pPr>
      <w:r>
        <w:rPr>
          <w:rFonts w:cs="Calibri"/>
          <w:bCs/>
          <w:iCs/>
          <w:lang w:val="lt-LT"/>
        </w:rPr>
        <w:t xml:space="preserve">6.2.2. </w:t>
      </w:r>
      <w:r>
        <w:rPr>
          <w:rFonts w:eastAsia="Calibri" w:cs="Calibri"/>
          <w:bCs/>
          <w:iCs/>
          <w:lang w:val="lt-LT"/>
        </w:rPr>
        <w:t>skaitmeninės dokumentų kopijos (</w:t>
      </w:r>
      <w:r>
        <w:rPr>
          <w:rFonts w:eastAsia="Calibri" w:cs="Calibri"/>
          <w:iCs/>
          <w:lang w:val="lt-LT"/>
        </w:rPr>
        <w:t>fiziniu parašu tvirtinami dokumentai turi būti pateikiami pasirašyti ir nuskenuoti)</w:t>
      </w:r>
      <w:r>
        <w:rPr>
          <w:rFonts w:eastAsia="Calibri" w:cs="Calibri"/>
          <w:bCs/>
          <w:iCs/>
          <w:lang w:val="lt-LT"/>
        </w:rPr>
        <w:t>.</w:t>
      </w:r>
    </w:p>
    <w:p>
      <w:pPr>
        <w:pStyle w:val="Standard"/>
        <w:tabs>
          <w:tab w:val="clear" w:pos="720"/>
          <w:tab w:val="left" w:pos="1276" w:leader="none"/>
        </w:tabs>
        <w:spacing w:lineRule="auto" w:line="240" w:before="0" w:after="0"/>
        <w:ind w:firstLine="567"/>
        <w:jc w:val="both"/>
        <w:rPr>
          <w:lang w:val="lt-LT"/>
        </w:rPr>
      </w:pPr>
      <w:r>
        <w:rPr>
          <w:lang w:val="lt-LT"/>
        </w:rPr>
        <w:t>6.3. Pasiūlymas turi būti parengtas lietuvių kalba</w:t>
      </w:r>
      <w:r>
        <w:rPr>
          <w:color w:val="00B050"/>
          <w:lang w:val="lt-LT"/>
        </w:rPr>
        <w:t>.</w:t>
      </w:r>
      <w:r>
        <w:rPr>
          <w:color w:val="7030A0"/>
          <w:lang w:val="lt-LT"/>
        </w:rPr>
        <w:t xml:space="preserve"> </w:t>
      </w:r>
      <w:r>
        <w:rPr>
          <w:rFonts w:eastAsia="Arial"/>
          <w:lang w:val="lt-LT"/>
        </w:rPr>
        <w:t xml:space="preserve">Jei kurie nors su pasiūlymu teikiami dokumentai parengti ne ta kalba, kuria reikalaujama, turi būti pateiktas tikslus vertimas į reikalaujamą kalbą. </w:t>
      </w:r>
      <w:r>
        <w:rPr>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Tinkamu gali būti laikomas ir tiekėjo vadovo patvirtintas vertimas.</w:t>
      </w:r>
    </w:p>
    <w:p>
      <w:pPr>
        <w:pStyle w:val="Standard"/>
        <w:tabs>
          <w:tab w:val="clear" w:pos="720"/>
          <w:tab w:val="left" w:pos="1276" w:leader="none"/>
        </w:tabs>
        <w:spacing w:lineRule="auto" w:line="240" w:before="0" w:after="0"/>
        <w:ind w:firstLine="567"/>
        <w:jc w:val="both"/>
        <w:rPr>
          <w:lang w:val="lt-LT"/>
        </w:rPr>
      </w:pPr>
      <w:r>
        <w:rPr>
          <w:lang w:val="lt-LT"/>
        </w:rPr>
        <w:t xml:space="preserve">6.4. </w:t>
      </w:r>
      <w:r>
        <w:rPr>
          <w:rFonts w:eastAsia="Arial"/>
          <w:lang w:val="lt-LT"/>
        </w:rPr>
        <w:t xml:space="preserve">Bendra pasiūlymo kaina (sąnaudos) su PVM  turi būti nurodoma dviejų skaičių po kablelio tikslumu. </w:t>
      </w:r>
      <w:r>
        <w:rPr>
          <w:rFonts w:eastAsia="Arial" w:cs="Calibri"/>
          <w:lang w:val="lt-LT"/>
        </w:rPr>
        <w:t>Šią kainą sudarančios kainos sudedamosios dalys ar įkainiai gali būti išreikštos neribojant skaičių po kablelio kiekio</w:t>
      </w:r>
      <w:r>
        <w:rPr>
          <w:rFonts w:eastAsia="Arial" w:cs="Arial" w:ascii="Arial" w:hAnsi="Arial"/>
          <w:lang w:val="lt-LT"/>
        </w:rPr>
        <w:t>.</w:t>
      </w:r>
    </w:p>
    <w:p>
      <w:pPr>
        <w:pStyle w:val="Standard"/>
        <w:tabs>
          <w:tab w:val="clear" w:pos="720"/>
          <w:tab w:val="left" w:pos="1276" w:leader="none"/>
        </w:tabs>
        <w:spacing w:lineRule="auto" w:line="240" w:before="0" w:after="0"/>
        <w:ind w:firstLine="567"/>
        <w:jc w:val="both"/>
        <w:rPr>
          <w:lang w:val="lt-LT"/>
        </w:rPr>
      </w:pPr>
      <w:r>
        <w:rPr>
          <w:rFonts w:eastAsia="Arial" w:cs="Calibri"/>
          <w:lang w:val="lt-LT"/>
        </w:rPr>
        <w:t>6.5. Tiekėjų</w:t>
      </w:r>
      <w:r>
        <w:rPr>
          <w:rFonts w:eastAsia="Arial"/>
          <w:lang w:val="lt-LT"/>
        </w:rPr>
        <w:t xml:space="preserve"> pasiūlymuose nurodytos kainos bus vertinamos  eurais </w:t>
      </w:r>
      <w:r>
        <w:rPr>
          <w:lang w:val="lt-LT"/>
        </w:rPr>
        <w:t>ir lyginamos su visais mokesčiais, įskaitant PVM.</w:t>
      </w:r>
    </w:p>
    <w:p>
      <w:pPr>
        <w:pStyle w:val="Heading1"/>
        <w:tabs>
          <w:tab w:val="clear" w:pos="720"/>
          <w:tab w:val="left" w:pos="709" w:leader="none"/>
        </w:tabs>
        <w:rPr>
          <w:lang w:val="lt-LT"/>
        </w:rPr>
      </w:pPr>
      <w:bookmarkStart w:id="21" w:name="_Ref39430779"/>
      <w:bookmarkStart w:id="22" w:name="_Ref39430768"/>
      <w:bookmarkStart w:id="23" w:name="_Toc170854169"/>
      <w:bookmarkStart w:id="24" w:name="_Toc91497105"/>
      <w:bookmarkStart w:id="25" w:name="_Toc91497104"/>
      <w:bookmarkStart w:id="26" w:name="_Toc91497103"/>
      <w:bookmarkStart w:id="27" w:name="_Toc91497102"/>
      <w:bookmarkStart w:id="28" w:name="_Toc91497106"/>
      <w:bookmarkEnd w:id="24"/>
      <w:bookmarkEnd w:id="25"/>
      <w:bookmarkEnd w:id="26"/>
      <w:bookmarkEnd w:id="27"/>
      <w:bookmarkEnd w:id="28"/>
      <w:r>
        <w:rPr>
          <w:rFonts w:cs="Calibri" w:ascii="Calibri" w:hAnsi="Calibri"/>
          <w:lang w:val="lt-LT"/>
        </w:rPr>
        <w:t>7. Pasiūlymo galiojimo užtikrinimas</w:t>
      </w:r>
      <w:bookmarkEnd w:id="21"/>
      <w:bookmarkEnd w:id="22"/>
      <w:bookmarkEnd w:id="23"/>
    </w:p>
    <w:p>
      <w:pPr>
        <w:pStyle w:val="ListParagraph"/>
        <w:spacing w:lineRule="auto" w:line="240" w:before="0" w:after="0"/>
        <w:ind w:firstLine="567" w:left="0"/>
        <w:jc w:val="both"/>
        <w:rPr>
          <w:lang w:val="lt-LT"/>
        </w:rPr>
      </w:pPr>
      <w:r>
        <w:rPr>
          <w:lang w:val="lt-LT"/>
        </w:rPr>
        <w:t xml:space="preserve">7.1. </w:t>
      </w:r>
      <w:r>
        <w:rPr>
          <w:rFonts w:eastAsia="Calibri" w:cs="Calibri"/>
          <w:bCs/>
          <w:iCs/>
          <w:lang w:val="lt-LT"/>
        </w:rPr>
        <w:t>Dalyvis kartu su pasiūlymu privalo pateikti Perkančiajai organizacijai pasiūlymo galiojimo užtikrinimą, kuris atitinka 7.3 punkte nurodytas sąlygas. Jungtinės veiklos sutarties pagrindu veikiančių ūkio subjektų pasiūlymo galiojimo užtikrinimas turi būti pateiktas visų jungtinės veiklos pagrindu veikiančių ūkio subjektų, kurie teikia pasiūlymą, vardu.</w:t>
      </w:r>
    </w:p>
    <w:p>
      <w:pPr>
        <w:pStyle w:val="ListParagraph"/>
        <w:spacing w:lineRule="auto" w:line="240" w:before="0" w:after="0"/>
        <w:ind w:firstLine="567" w:left="0"/>
        <w:jc w:val="both"/>
        <w:rPr>
          <w:lang w:val="lt-LT"/>
        </w:rPr>
      </w:pPr>
      <w:r>
        <w:rPr>
          <w:rFonts w:eastAsia="Calibri" w:cs="Calibri"/>
          <w:bCs/>
          <w:iCs/>
          <w:lang w:val="lt-LT"/>
        </w:rPr>
        <w:t xml:space="preserve">7.2. </w:t>
      </w:r>
      <w:r>
        <w:rPr>
          <w:lang w:val="lt-LT"/>
        </w:rPr>
        <w:t xml:space="preserve">Dalyvis privalo užtikrinti savo pasiūlymo galiojimą ne mažesne kaip </w:t>
      </w:r>
      <w:r>
        <w:rPr>
          <w:b/>
          <w:bCs/>
          <w:lang w:val="lt-LT"/>
        </w:rPr>
        <w:t>9</w:t>
      </w:r>
      <w:r>
        <w:rPr>
          <w:b/>
          <w:lang w:val="lt-LT"/>
        </w:rPr>
        <w:t>000 (devyni tūkstančiai) Eur</w:t>
      </w:r>
      <w:r>
        <w:rPr>
          <w:lang w:val="lt-LT"/>
        </w:rPr>
        <w:t xml:space="preserve"> vienu iš šių būdų:</w:t>
      </w:r>
    </w:p>
    <w:p>
      <w:pPr>
        <w:pStyle w:val="ListParagraph"/>
        <w:spacing w:lineRule="auto" w:line="240" w:before="0" w:after="0"/>
        <w:ind w:firstLine="567" w:left="0"/>
        <w:jc w:val="both"/>
        <w:rPr>
          <w:lang w:val="lt-LT"/>
        </w:rPr>
      </w:pPr>
      <w:r>
        <w:rPr>
          <w:lang w:val="lt-LT"/>
        </w:rPr>
        <w:t>7.2.1. pateikiant banko ar kredito įstaigos išduotą besąlyginę pasiūlymo galiojimo užtikrinimo garantiją;</w:t>
      </w:r>
    </w:p>
    <w:p>
      <w:pPr>
        <w:pStyle w:val="ListParagraph"/>
        <w:spacing w:lineRule="auto" w:line="240" w:before="0" w:after="0"/>
        <w:ind w:firstLine="567" w:left="0"/>
        <w:jc w:val="both"/>
        <w:rPr>
          <w:lang w:val="lt-LT"/>
        </w:rPr>
      </w:pPr>
      <w:r>
        <w:rPr>
          <w:lang w:val="lt-LT"/>
        </w:rPr>
        <w:t>7.2.2. pateikiant draudimo bendrovės besąlyginį ir neatšaukiamą laidavimo draudimą.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pPr>
        <w:pStyle w:val="ListParagraph"/>
        <w:spacing w:lineRule="auto" w:line="240" w:before="0" w:after="0"/>
        <w:ind w:firstLine="567" w:left="0"/>
        <w:jc w:val="both"/>
        <w:rPr>
          <w:lang w:val="lt-LT"/>
        </w:rPr>
      </w:pPr>
      <w:r>
        <w:rPr>
          <w:lang w:val="lt-LT"/>
        </w:rPr>
        <w:t xml:space="preserve">7.2.3. atliekant pavedimą į nurodytą Prienų rajono savivaldybės administracijos banko sąskaitą (AB bankas „Swedbank“, sąskaitos Nr. LT337300010076937146) ir kartu pateikiant pavedimo, patvirtinančio užtikrinimo apmokėjimą, kopiją. Pavedimas turi būti atliktas iki pasiūlymo pateikimo. </w:t>
      </w:r>
    </w:p>
    <w:p>
      <w:pPr>
        <w:pStyle w:val="ListParagraph"/>
        <w:spacing w:lineRule="auto" w:line="240" w:before="0" w:after="0"/>
        <w:ind w:firstLine="567" w:left="0"/>
        <w:jc w:val="both"/>
        <w:rPr>
          <w:lang w:val="lt-LT"/>
        </w:rPr>
      </w:pPr>
      <w:r>
        <w:rPr>
          <w:lang w:val="lt-LT"/>
        </w:rPr>
        <w:t xml:space="preserve">7.3. </w:t>
      </w:r>
      <w:r>
        <w:rPr>
          <w:rFonts w:eastAsia="Calibri" w:cs="Calibri"/>
          <w:bCs/>
          <w:iCs/>
          <w:lang w:val="lt-LT"/>
        </w:rPr>
        <w:t>Esminės užtikrinimo sąlygos yra – užtikrinimo suma, besąlygiškumas, neatšaukiamumas, perkančiosios organizacijos ir tiekėjo rekvizitai, galiojimo laikas, sutikimas sumokėti užtikrinimo sumą ne ginčo tvarka per 10 darbo dienų, užtikrinimas pasirašytas (paprastu ar kvalifikuotu elektroniniu parašu) ir patvirtintas.</w:t>
      </w:r>
    </w:p>
    <w:p>
      <w:pPr>
        <w:pStyle w:val="ListParagraph"/>
        <w:spacing w:lineRule="auto" w:line="240" w:before="0" w:after="0"/>
        <w:ind w:firstLine="567" w:left="0"/>
        <w:jc w:val="both"/>
        <w:rPr>
          <w:lang w:val="lt-LT"/>
        </w:rPr>
      </w:pPr>
      <w:r>
        <w:rPr>
          <w:rFonts w:eastAsia="Calibri" w:cs="Calibri"/>
          <w:bCs/>
          <w:iCs/>
          <w:lang w:val="lt-LT"/>
        </w:rPr>
        <w:t>7.4. Pasiūlymo galiojimo užtikrinimas turi galioti ne trumpiau nei pats pasiūlymas. Iki pasibaigiant pasiūlymų galiojimo terminui Perkančioji organizacija gali prašyti Dalyvių pratęsti pasiūlymų galiojimo ir pasiūlymo galiojimo užtikrinimo galiojimo terminus konkrečiam dienų skaičiui.</w:t>
      </w:r>
    </w:p>
    <w:p>
      <w:pPr>
        <w:pStyle w:val="ListParagraph"/>
        <w:spacing w:lineRule="auto" w:line="240" w:before="0" w:after="0"/>
        <w:ind w:firstLine="567" w:left="0"/>
        <w:jc w:val="both"/>
        <w:rPr>
          <w:lang w:val="lt-LT"/>
        </w:rPr>
      </w:pPr>
      <w:r>
        <w:rPr>
          <w:lang w:val="lt-LT"/>
        </w:rPr>
        <w:t xml:space="preserve">7.5. </w:t>
      </w:r>
      <w:r>
        <w:rPr>
          <w:color w:val="000000"/>
          <w:lang w:val="lt-LT"/>
        </w:rPr>
        <w:t>Dalyvis netenka pasiūlymo galiojimo užtikrinimo esant bent vienai šių sąlygų:</w:t>
      </w:r>
    </w:p>
    <w:p>
      <w:pPr>
        <w:pStyle w:val="ListParagraph"/>
        <w:spacing w:lineRule="auto" w:line="240" w:before="0" w:after="0"/>
        <w:ind w:firstLine="567" w:left="0"/>
        <w:jc w:val="both"/>
        <w:rPr>
          <w:lang w:val="lt-LT"/>
        </w:rPr>
      </w:pPr>
      <w:r>
        <w:rPr>
          <w:rFonts w:cs="Calibri"/>
          <w:lang w:val="lt-LT"/>
        </w:rPr>
        <w:t xml:space="preserve">7.5.1. </w:t>
      </w:r>
      <w:r>
        <w:rPr>
          <w:rFonts w:eastAsia="Calibri" w:cs="Calibri"/>
          <w:bCs/>
          <w:iCs/>
          <w:lang w:val="lt-LT"/>
        </w:rPr>
        <w:t xml:space="preserve">Dalyvis atsisako savo pasiūlymo arba jo dalies (pasiūlyme nurodyto pirkimo objekto, jo kiekio (apimties), siūlomų kainų, tiekimo ar mokėjimo terminų, kitų pasiūlyme nurodytų sąlygų), </w:t>
      </w:r>
      <w:bookmarkStart w:id="29" w:name="_Hlk126003117"/>
      <w:r>
        <w:rPr>
          <w:rFonts w:eastAsia="Calibri" w:cs="Calibri"/>
          <w:bCs/>
          <w:iCs/>
          <w:lang w:val="lt-LT"/>
        </w:rPr>
        <w:t>nors pasiūlymo galiojimo terminas dar nebus pasibaigęs</w:t>
      </w:r>
      <w:bookmarkEnd w:id="29"/>
      <w:r>
        <w:rPr>
          <w:rFonts w:eastAsia="Calibri" w:cs="Calibri"/>
          <w:bCs/>
          <w:iCs/>
          <w:lang w:val="lt-LT"/>
        </w:rPr>
        <w:t>;</w:t>
      </w:r>
    </w:p>
    <w:p>
      <w:pPr>
        <w:pStyle w:val="ListParagraph"/>
        <w:spacing w:lineRule="auto" w:line="240" w:before="0" w:after="0"/>
        <w:ind w:firstLine="567" w:left="0"/>
        <w:jc w:val="both"/>
        <w:rPr>
          <w:lang w:val="lt-LT"/>
        </w:rPr>
      </w:pPr>
      <w:r>
        <w:rPr>
          <w:rFonts w:cs="Calibri"/>
          <w:iCs/>
          <w:lang w:val="lt-LT"/>
        </w:rPr>
        <w:t>7.5.2. Dalyvis, perkančiajai organizacijai paprašius, netikslina ar nepateikia trūkstamų duomenų ar dokumentų apie atitiktį pirkimo dokumentų reikalavimams;</w:t>
      </w:r>
    </w:p>
    <w:p>
      <w:pPr>
        <w:pStyle w:val="ListParagraph"/>
        <w:spacing w:lineRule="auto" w:line="240" w:before="0" w:after="0"/>
        <w:ind w:firstLine="567" w:left="0"/>
        <w:jc w:val="both"/>
        <w:rPr>
          <w:lang w:val="lt-LT"/>
        </w:rPr>
      </w:pPr>
      <w:r>
        <w:rPr>
          <w:rFonts w:eastAsia="Calibri" w:cs="Calibri"/>
          <w:bCs/>
          <w:iCs/>
          <w:lang w:val="lt-LT"/>
        </w:rPr>
        <w:t xml:space="preserve">7.5.3. </w:t>
      </w:r>
      <w:r>
        <w:rPr>
          <w:rFonts w:cs="Calibri"/>
          <w:lang w:val="lt-LT"/>
        </w:rPr>
        <w:t>perkančiajai organizacijai paprašius pagrįsti neįprastai mažą kainą, dalyvis nepateikia jokio pagrindimo;</w:t>
      </w:r>
    </w:p>
    <w:p>
      <w:pPr>
        <w:pStyle w:val="ListParagraph"/>
        <w:spacing w:lineRule="auto" w:line="240" w:before="0" w:after="0"/>
        <w:ind w:firstLine="567" w:left="0"/>
        <w:jc w:val="both"/>
        <w:rPr>
          <w:lang w:val="lt-LT"/>
        </w:rPr>
      </w:pPr>
      <w:r>
        <w:rPr>
          <w:rFonts w:cs="Calibri"/>
          <w:lang w:val="lt-LT"/>
        </w:rPr>
        <w:t xml:space="preserve">7.5.4. </w:t>
      </w:r>
      <w:r>
        <w:rPr>
          <w:rFonts w:eastAsia="Calibri" w:cs="Calibri"/>
          <w:bCs/>
          <w:iCs/>
          <w:lang w:val="lt-LT"/>
        </w:rPr>
        <w:t xml:space="preserve">laimėjęs viešąjį pirkimą dalyvis atsisako pasirašyti sutartį pagal pirkimo dokumentuose pateiktas sutarties sąlygas </w:t>
      </w:r>
      <w:r>
        <w:rPr>
          <w:rFonts w:cs="Calibri"/>
          <w:iCs/>
          <w:lang w:val="lt-LT"/>
        </w:rPr>
        <w:t>ir (ar) sutarties projektą</w:t>
      </w:r>
      <w:r>
        <w:rPr>
          <w:rFonts w:cs="Calibri"/>
          <w:lang w:val="lt-LT"/>
        </w:rPr>
        <w:t xml:space="preserve"> </w:t>
      </w:r>
      <w:r>
        <w:rPr>
          <w:rFonts w:eastAsia="Calibri" w:cs="Calibri"/>
          <w:bCs/>
          <w:iCs/>
          <w:lang w:val="lt-LT"/>
        </w:rPr>
        <w:t xml:space="preserve">nors pasiūlymo galiojimo terminas dar nebus pasibaigęs. </w:t>
      </w:r>
      <w:r>
        <w:rPr>
          <w:rFonts w:cs="Calibri"/>
          <w:iCs/>
          <w:lang w:val="lt-LT"/>
        </w:rPr>
        <w:t>Jei iki perkančiosios organizacijos nurodyto laiko dalyvis nepasirašo sutarties, laikoma, kad jis atsisakė sudaryti sutartį;</w:t>
      </w:r>
    </w:p>
    <w:p>
      <w:pPr>
        <w:pStyle w:val="Standard"/>
        <w:tabs>
          <w:tab w:val="clear" w:pos="720"/>
          <w:tab w:val="left" w:pos="1701" w:leader="none"/>
        </w:tabs>
        <w:spacing w:lineRule="auto" w:line="240" w:before="0" w:after="0"/>
        <w:ind w:firstLine="567"/>
        <w:jc w:val="both"/>
        <w:rPr>
          <w:lang w:val="lt-LT"/>
        </w:rPr>
      </w:pPr>
      <w:r>
        <w:rPr>
          <w:rFonts w:cs="Calibri"/>
          <w:iCs/>
          <w:lang w:val="lt-LT"/>
        </w:rPr>
        <w:t xml:space="preserve">7.5.5. laimėjęs pirkimą ir pasirašęs sutartį dalyvis per sutartyje nustatytą terminą nepateikia sutarties įvykdymo užtikrinimo  </w:t>
      </w:r>
      <w:r>
        <w:rPr>
          <w:color w:val="000000"/>
          <w:lang w:val="lt-LT"/>
        </w:rPr>
        <w:t>arba neįvykdo kitų pirkimo sutartyje nustatytų jos įsigaliojimo sąlygų</w:t>
      </w:r>
      <w:r>
        <w:rPr>
          <w:rFonts w:cs="Calibri"/>
          <w:iCs/>
          <w:lang w:val="lt-LT"/>
        </w:rPr>
        <w:t>.</w:t>
      </w:r>
    </w:p>
    <w:p>
      <w:pPr>
        <w:pStyle w:val="Standard"/>
        <w:tabs>
          <w:tab w:val="clear" w:pos="720"/>
          <w:tab w:val="left" w:pos="1701" w:leader="none"/>
        </w:tabs>
        <w:spacing w:lineRule="auto" w:line="240" w:before="0" w:after="0"/>
        <w:ind w:firstLine="567"/>
        <w:jc w:val="both"/>
        <w:rPr>
          <w:lang w:val="lt-LT"/>
        </w:rPr>
      </w:pPr>
      <w:r>
        <w:rPr>
          <w:rFonts w:cs="Calibri"/>
          <w:iCs/>
          <w:lang w:val="lt-LT"/>
        </w:rPr>
        <w:t xml:space="preserve">7.6. </w:t>
      </w:r>
      <w:r>
        <w:rPr>
          <w:lang w:val="lt-LT"/>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w:t>
      </w:r>
      <w:r>
        <w:rPr>
          <w:color w:val="7030A0"/>
          <w:lang w:val="lt-LT"/>
        </w:rPr>
        <w:t xml:space="preserve"> </w:t>
      </w:r>
      <w:r>
        <w:rPr>
          <w:lang w:val="lt-LT"/>
        </w:rPr>
        <w:t>perkančiajai organizacijai  arba kitiems ūkio subjektams, ar netinkamai juos vykdė.</w:t>
      </w:r>
    </w:p>
    <w:p>
      <w:pPr>
        <w:pStyle w:val="Standard"/>
        <w:tabs>
          <w:tab w:val="clear" w:pos="720"/>
          <w:tab w:val="left" w:pos="1701" w:leader="none"/>
        </w:tabs>
        <w:spacing w:lineRule="auto" w:line="240" w:before="0" w:after="0"/>
        <w:ind w:firstLine="567"/>
        <w:jc w:val="both"/>
        <w:rPr>
          <w:lang w:val="lt-LT"/>
        </w:rPr>
      </w:pPr>
      <w:r>
        <w:rPr>
          <w:lang w:val="lt-LT"/>
        </w:rPr>
        <w:t>7.7.</w:t>
      </w:r>
      <w:r>
        <w:rPr>
          <w:rFonts w:cs="Calibri"/>
          <w:color w:val="7030A0"/>
          <w:lang w:val="lt-LT"/>
        </w:rPr>
        <w:t xml:space="preserve"> </w:t>
      </w:r>
      <w:r>
        <w:rPr>
          <w:rFonts w:cs="Calibri"/>
          <w:lang w:val="lt-LT"/>
        </w:rPr>
        <w:t>Perkančioji organizacija gali prašyti dalyvius pratęsti pasiūlymo galiojimo užtikrinimo laiką iki konkrečiai nurodytos datos.</w:t>
      </w:r>
    </w:p>
    <w:p>
      <w:pPr>
        <w:pStyle w:val="Standard"/>
        <w:tabs>
          <w:tab w:val="clear" w:pos="720"/>
          <w:tab w:val="left" w:pos="1701" w:leader="none"/>
        </w:tabs>
        <w:spacing w:lineRule="auto" w:line="240" w:before="0" w:after="0"/>
        <w:ind w:firstLine="567"/>
        <w:jc w:val="both"/>
        <w:rPr>
          <w:lang w:val="lt-LT"/>
        </w:rPr>
      </w:pPr>
      <w:r>
        <w:rPr>
          <w:rFonts w:cs="Calibri"/>
          <w:lang w:val="lt-LT"/>
        </w:rPr>
        <w:t xml:space="preserve">7.8. </w:t>
      </w:r>
      <w:r>
        <w:rPr>
          <w:rFonts w:cs="Calibri"/>
          <w:color w:val="000000"/>
          <w:lang w:val="lt-LT"/>
        </w:rPr>
        <w:t xml:space="preserve">Pasiūlymo galiojimo užtikrinimas dalyviui grąžinamas (arba atsisakoma teisių į jį) </w:t>
      </w:r>
      <w:r>
        <w:rPr>
          <w:rFonts w:cs="Calibri"/>
          <w:lang w:val="lt-LT"/>
        </w:rPr>
        <w:t>per specialiųjų p</w:t>
      </w:r>
      <w:r>
        <w:rPr>
          <w:rFonts w:cs="Calibri"/>
          <w:color w:val="000000"/>
          <w:shd w:fill="FFFFFF" w:val="clear"/>
          <w:lang w:val="lt-LT"/>
        </w:rPr>
        <w:t xml:space="preserve">irkimo sąlygų 1 priede </w:t>
      </w:r>
      <w:r>
        <w:rPr>
          <w:rFonts w:cs="Calibri"/>
          <w:shd w:fill="FFFFFF" w:val="clear"/>
          <w:lang w:val="lt-LT"/>
        </w:rPr>
        <w:t xml:space="preserve">„Terminai“ </w:t>
      </w:r>
      <w:r>
        <w:rPr>
          <w:rFonts w:cs="Calibri"/>
          <w:lang w:val="lt-LT"/>
        </w:rPr>
        <w:t xml:space="preserve">nustatytą terminą </w:t>
      </w:r>
      <w:r>
        <w:rPr>
          <w:rFonts w:cs="Calibri"/>
          <w:color w:val="000000"/>
          <w:lang w:val="lt-LT"/>
        </w:rPr>
        <w:t>įvykus bent vienai iš šių sąlygų:</w:t>
      </w:r>
    </w:p>
    <w:p>
      <w:pPr>
        <w:pStyle w:val="Standard"/>
        <w:tabs>
          <w:tab w:val="clear" w:pos="720"/>
          <w:tab w:val="left" w:pos="1701" w:leader="none"/>
        </w:tabs>
        <w:spacing w:lineRule="auto" w:line="240" w:before="0" w:after="0"/>
        <w:ind w:firstLine="567"/>
        <w:jc w:val="both"/>
        <w:rPr>
          <w:lang w:val="lt-LT"/>
        </w:rPr>
      </w:pPr>
      <w:r>
        <w:rPr>
          <w:rFonts w:cs="Calibri"/>
          <w:color w:val="000000"/>
          <w:lang w:val="lt-LT"/>
        </w:rPr>
        <w:t>7.8.1. pasibaigia pasiūlymų užtikrinimo galiojimo laikas ir dalyvis jo nepratęsia ir (ar) ne</w:t>
      </w:r>
      <w:r>
        <w:rPr>
          <w:rFonts w:cs="Calibri"/>
          <w:lang w:val="lt-LT"/>
        </w:rPr>
        <w:t>pateikia naujo pasiūlymo galiojimo užtikrinimą patvirtinančio dokumento (jeigu jo reikalaujama)</w:t>
      </w:r>
      <w:r>
        <w:rPr>
          <w:rFonts w:cs="Calibri"/>
          <w:color w:val="000000"/>
          <w:lang w:val="lt-LT"/>
        </w:rPr>
        <w:t>;</w:t>
      </w:r>
    </w:p>
    <w:p>
      <w:pPr>
        <w:pStyle w:val="Standard"/>
        <w:tabs>
          <w:tab w:val="clear" w:pos="720"/>
          <w:tab w:val="left" w:pos="1701" w:leader="none"/>
        </w:tabs>
        <w:spacing w:lineRule="auto" w:line="240" w:before="0" w:after="0"/>
        <w:ind w:firstLine="567"/>
        <w:jc w:val="both"/>
        <w:rPr>
          <w:lang w:val="lt-LT"/>
        </w:rPr>
      </w:pPr>
      <w:r>
        <w:rPr>
          <w:rFonts w:cs="Calibri"/>
          <w:color w:val="000000"/>
          <w:lang w:val="lt-LT"/>
        </w:rPr>
        <w:t>7.8.2. įsigalioja pasirašyta sutartis;</w:t>
      </w:r>
    </w:p>
    <w:p>
      <w:pPr>
        <w:pStyle w:val="Standard"/>
        <w:tabs>
          <w:tab w:val="clear" w:pos="720"/>
          <w:tab w:val="left" w:pos="1701" w:leader="none"/>
        </w:tabs>
        <w:spacing w:lineRule="auto" w:line="240" w:before="0" w:after="0"/>
        <w:ind w:firstLine="567"/>
        <w:jc w:val="both"/>
        <w:rPr>
          <w:lang w:val="lt-LT"/>
        </w:rPr>
      </w:pPr>
      <w:r>
        <w:rPr>
          <w:rFonts w:cs="Calibri"/>
          <w:color w:val="000000"/>
          <w:lang w:val="lt-LT"/>
        </w:rPr>
        <w:t>7.8.3. nutraukiamos pirkimo procedūros.</w:t>
      </w:r>
    </w:p>
    <w:p>
      <w:pPr>
        <w:pStyle w:val="Standard"/>
        <w:tabs>
          <w:tab w:val="clear" w:pos="720"/>
          <w:tab w:val="left" w:pos="1701" w:leader="none"/>
        </w:tabs>
        <w:spacing w:lineRule="auto" w:line="240" w:before="0" w:after="0"/>
        <w:ind w:firstLine="567"/>
        <w:jc w:val="both"/>
        <w:rPr>
          <w:rFonts w:cs="Calibri"/>
          <w:lang w:val="lt-LT"/>
        </w:rPr>
      </w:pPr>
      <w:r>
        <w:rPr>
          <w:rFonts w:cs="Calibri"/>
          <w:lang w:val="lt-LT"/>
        </w:rPr>
      </w:r>
    </w:p>
    <w:p>
      <w:pPr>
        <w:pStyle w:val="Heading1"/>
        <w:tabs>
          <w:tab w:val="clear" w:pos="720"/>
          <w:tab w:val="left" w:pos="709" w:leader="none"/>
        </w:tabs>
        <w:spacing w:lineRule="atLeast" w:line="20"/>
        <w:rPr>
          <w:lang w:val="lt-LT"/>
        </w:rPr>
      </w:pPr>
      <w:bookmarkStart w:id="30" w:name="_Ref39658248"/>
      <w:bookmarkStart w:id="31" w:name="_Ref39658226"/>
      <w:bookmarkStart w:id="32" w:name="_Ref39658218"/>
      <w:bookmarkStart w:id="33" w:name="_Toc170854170"/>
      <w:bookmarkStart w:id="34" w:name="_Ref39658251"/>
      <w:r>
        <w:rPr>
          <w:rFonts w:cs="Calibri" w:ascii="Calibri" w:hAnsi="Calibri"/>
          <w:lang w:val="lt-LT"/>
        </w:rPr>
        <w:t>8. Elektroninis aukcionas</w:t>
      </w:r>
      <w:bookmarkEnd w:id="30"/>
      <w:bookmarkEnd w:id="31"/>
      <w:bookmarkEnd w:id="32"/>
      <w:bookmarkEnd w:id="33"/>
      <w:bookmarkEnd w:id="34"/>
    </w:p>
    <w:p>
      <w:pPr>
        <w:pStyle w:val="Standard"/>
        <w:spacing w:lineRule="auto" w:line="240" w:before="0" w:after="0"/>
        <w:ind w:firstLine="567"/>
        <w:rPr>
          <w:lang w:val="lt-LT"/>
        </w:rPr>
      </w:pPr>
      <w:r>
        <w:rPr>
          <w:rFonts w:cs="Calibri"/>
          <w:lang w:val="lt-LT"/>
        </w:rPr>
        <w:t>8.1. Perkančioji organizacija pirkime netaikys elektroninio aukciono.</w:t>
      </w:r>
    </w:p>
    <w:p>
      <w:pPr>
        <w:pStyle w:val="Heading1"/>
        <w:tabs>
          <w:tab w:val="clear" w:pos="720"/>
          <w:tab w:val="left" w:pos="709" w:leader="none"/>
        </w:tabs>
        <w:spacing w:lineRule="atLeast" w:line="20"/>
        <w:rPr>
          <w:lang w:val="lt-LT"/>
        </w:rPr>
      </w:pPr>
      <w:bookmarkStart w:id="35" w:name="_Ref39485250"/>
      <w:bookmarkStart w:id="36" w:name="_Ref39667308"/>
      <w:bookmarkStart w:id="37" w:name="_Ref39667303"/>
      <w:bookmarkStart w:id="38" w:name="_Toc170854171"/>
      <w:bookmarkStart w:id="39" w:name="_Ref39485258"/>
      <w:r>
        <w:rPr>
          <w:rFonts w:cs="Calibri" w:ascii="Calibri" w:hAnsi="Calibri"/>
          <w:lang w:val="lt-LT"/>
        </w:rPr>
        <w:t>9. Pasiūlymų vertinimas</w:t>
      </w:r>
      <w:bookmarkEnd w:id="35"/>
      <w:bookmarkEnd w:id="36"/>
      <w:bookmarkEnd w:id="37"/>
      <w:bookmarkEnd w:id="38"/>
      <w:bookmarkEnd w:id="39"/>
    </w:p>
    <w:p>
      <w:pPr>
        <w:pStyle w:val="Standard"/>
        <w:spacing w:lineRule="auto" w:line="240" w:before="0" w:after="0"/>
        <w:ind w:firstLine="567"/>
        <w:jc w:val="both"/>
        <w:rPr>
          <w:lang w:val="lt-LT"/>
        </w:rPr>
      </w:pPr>
      <w:r>
        <w:rPr>
          <w:rFonts w:cs="Calibri"/>
          <w:lang w:val="lt-LT"/>
        </w:rPr>
        <w:t xml:space="preserve">9.1. </w:t>
      </w:r>
      <w:r>
        <w:rPr>
          <w:rFonts w:eastAsia="Calibri" w:cs="Calibri"/>
          <w:lang w:val="lt-LT"/>
        </w:rPr>
        <w:t xml:space="preserve">Perkančioji organizacija ekonomiškai naudingiausią pasiūlymą išrenka pagal tiekėjo pasiūlyme nurodytą kainą, kuri turi būti apskaičiuota ir nurodyta taip, kaip reikalaujama </w:t>
      </w:r>
      <w:bookmarkStart w:id="40" w:name="_Hlk91157291"/>
      <w:r>
        <w:rPr>
          <w:rFonts w:eastAsia="Calibri" w:cs="Calibri"/>
          <w:lang w:val="lt-LT"/>
        </w:rPr>
        <w:t>specialiųjų pirkimo sąlygų 6 priede „Pasiūlymo forma“.</w:t>
      </w:r>
      <w:bookmarkEnd w:id="40"/>
    </w:p>
    <w:p>
      <w:pPr>
        <w:pStyle w:val="Standard"/>
        <w:spacing w:lineRule="auto" w:line="240" w:before="0" w:after="0"/>
        <w:ind w:firstLine="567"/>
        <w:jc w:val="both"/>
        <w:rPr>
          <w:lang w:val="lt-LT"/>
        </w:rPr>
      </w:pPr>
      <w:r>
        <w:rPr>
          <w:rFonts w:cs="Calibri"/>
          <w:shd w:fill="FFFFFF" w:val="clear"/>
          <w:lang w:val="lt-LT"/>
        </w:rPr>
        <w:t xml:space="preserve">9.2. </w:t>
      </w:r>
      <w:r>
        <w:rPr>
          <w:rFonts w:cs="Calibri"/>
          <w:color w:val="000000"/>
          <w:lang w:val="lt-LT"/>
        </w:rPr>
        <w:t>Laimėjusiu pasiūlymu galės būti pripažintas tik 1 (vienas) ekonomiškai naudingiausias pasiūlymas, esantis pasiūlymų eilės pirmojoje vietoje.</w:t>
      </w:r>
    </w:p>
    <w:p>
      <w:pPr>
        <w:pStyle w:val="Standard"/>
        <w:spacing w:lineRule="auto" w:line="240" w:before="0" w:after="0"/>
        <w:ind w:firstLine="567"/>
        <w:jc w:val="both"/>
        <w:rPr/>
      </w:pPr>
      <w:r>
        <w:rPr>
          <w:rFonts w:cs="Calibri"/>
          <w:b/>
          <w:bCs/>
          <w:color w:val="000000"/>
          <w:lang w:val="lt-LT"/>
        </w:rPr>
        <w:t xml:space="preserve">9.3. </w:t>
      </w:r>
      <w:r>
        <w:rPr>
          <w:rStyle w:val="Cf01"/>
          <w:rFonts w:cs="Calibri"/>
          <w:b/>
          <w:bCs/>
          <w:sz w:val="21"/>
          <w:szCs w:val="21"/>
          <w:lang w:val="lt-LT"/>
        </w:rPr>
        <w:t xml:space="preserve">Perkančioji organizacija </w:t>
      </w:r>
      <w:r>
        <w:rPr>
          <w:rStyle w:val="Cf01"/>
          <w:rFonts w:cs="Calibri"/>
          <w:b/>
          <w:bCs/>
          <w:sz w:val="21"/>
          <w:szCs w:val="21"/>
          <w:u w:val="single"/>
          <w:lang w:val="lt-LT"/>
        </w:rPr>
        <w:t>atmes</w:t>
      </w:r>
      <w:r>
        <w:rPr>
          <w:rStyle w:val="Cf01"/>
          <w:rFonts w:cs="Calibri"/>
          <w:b/>
          <w:bCs/>
          <w:sz w:val="21"/>
          <w:szCs w:val="21"/>
          <w:lang w:val="lt-LT"/>
        </w:rPr>
        <w:t xml:space="preserve"> tiekėjo pasiūlymą, jeigu kartu su pasiūlymu nebus pateikti šie pirkimo sąlygose reikalaujami pateikti dokumentai:  6.1.1 ir 6.1.8 papunkčiuose nurodyti dokumentai.</w:t>
      </w:r>
    </w:p>
    <w:p>
      <w:pPr>
        <w:pStyle w:val="Heading1"/>
        <w:tabs>
          <w:tab w:val="clear" w:pos="720"/>
          <w:tab w:val="left" w:pos="567" w:leader="none"/>
        </w:tabs>
        <w:spacing w:lineRule="atLeast" w:line="20"/>
        <w:rPr>
          <w:lang w:val="lt-LT"/>
        </w:rPr>
      </w:pPr>
      <w:bookmarkStart w:id="41" w:name="_Ref39425999"/>
      <w:bookmarkStart w:id="42" w:name="_Toc170854172"/>
      <w:bookmarkStart w:id="43" w:name="_Ref39426005"/>
      <w:r>
        <w:rPr>
          <w:rFonts w:cs="Calibri" w:ascii="Calibri" w:hAnsi="Calibri"/>
          <w:lang w:val="lt-LT"/>
        </w:rPr>
        <w:t>10. Sutarties sudarymas</w:t>
      </w:r>
      <w:bookmarkEnd w:id="41"/>
      <w:bookmarkEnd w:id="42"/>
      <w:bookmarkEnd w:id="43"/>
    </w:p>
    <w:p>
      <w:pPr>
        <w:pStyle w:val="ListParagraph"/>
        <w:spacing w:lineRule="auto" w:line="240" w:before="0" w:after="0"/>
        <w:ind w:firstLine="567" w:left="0"/>
        <w:jc w:val="both"/>
        <w:rPr>
          <w:lang w:val="lt-LT"/>
        </w:rPr>
      </w:pPr>
      <w:r>
        <w:rPr>
          <w:color w:val="000000"/>
          <w:lang w:val="lt-LT"/>
        </w:rPr>
        <w:t>10.1. Ši pirkimo procedūra atliekama siekiant sudaryti sutartį su tiekėju, kurio pasiūlymas, vadovaujantis pirkimo sąlygose</w:t>
      </w:r>
      <w:r>
        <w:rPr>
          <w:color w:val="0070C0"/>
          <w:lang w:val="lt-LT"/>
        </w:rPr>
        <w:t xml:space="preserve"> </w:t>
      </w:r>
      <w:r>
        <w:rPr>
          <w:color w:val="000000"/>
          <w:lang w:val="lt-LT"/>
        </w:rPr>
        <w:t xml:space="preserve">nustatyta tvarka, bus pripažintas laimėjęs, o jei pirkimas skaidomas į dalis – su tiekėjais, kurių pasiūlymai bus pripažinti laimėję. </w:t>
      </w:r>
      <w:r>
        <w:rPr>
          <w:lang w:val="lt-LT"/>
        </w:rPr>
        <w:t>Sutarties sąlygos pateikiamos Pirkimo sąlygų 8 priede „Sutarties projektas“</w:t>
      </w:r>
      <w:r>
        <w:rPr>
          <w:color w:val="00B050"/>
          <w:lang w:val="lt-LT"/>
        </w:rPr>
        <w:t>.</w:t>
      </w:r>
    </w:p>
    <w:p>
      <w:pPr>
        <w:pStyle w:val="Heading1"/>
        <w:tabs>
          <w:tab w:val="clear" w:pos="720"/>
          <w:tab w:val="left" w:pos="567" w:leader="none"/>
        </w:tabs>
        <w:spacing w:lineRule="atLeast" w:line="20"/>
        <w:jc w:val="both"/>
        <w:rPr>
          <w:lang w:val="lt-LT"/>
        </w:rPr>
      </w:pPr>
      <w:bookmarkStart w:id="44" w:name="_Toc170854173"/>
      <w:bookmarkStart w:id="45" w:name="_Toc147739116"/>
      <w:bookmarkEnd w:id="45"/>
      <w:r>
        <w:rPr>
          <w:rFonts w:cs="Calibri" w:ascii="Calibri" w:hAnsi="Calibri"/>
          <w:lang w:val="lt-LT"/>
        </w:rPr>
        <w:t>11. Kitos sąlygos</w:t>
      </w:r>
      <w:bookmarkEnd w:id="44"/>
    </w:p>
    <w:p>
      <w:pPr>
        <w:pStyle w:val="Standard"/>
        <w:shd w:val="clear" w:color="auto" w:fill="FFFFFF"/>
        <w:spacing w:lineRule="auto" w:line="240" w:before="0" w:after="0"/>
        <w:ind w:firstLine="567"/>
        <w:jc w:val="both"/>
        <w:rPr>
          <w:lang w:val="lt-LT"/>
        </w:rPr>
      </w:pPr>
      <w:r>
        <w:rPr>
          <w:rFonts w:eastAsia="Times New Roman" w:cs="Calibri"/>
          <w:color w:val="000000"/>
          <w:lang w:val="lt-LT"/>
        </w:rPr>
        <w:t>11.1. Perkančioji organizacija pirkime papildomų sąlygų netaiko.</w:t>
      </w:r>
    </w:p>
    <w:p>
      <w:pPr>
        <w:sectPr>
          <w:footerReference w:type="even" r:id="rId3"/>
          <w:footerReference w:type="default" r:id="rId4"/>
          <w:footerReference w:type="first" r:id="rId5"/>
          <w:type w:val="nextPage"/>
          <w:pgSz w:w="12240" w:h="15840"/>
          <w:pgMar w:left="1701" w:right="567" w:gutter="0" w:header="0" w:top="1134" w:footer="720" w:bottom="1134"/>
          <w:pgNumType w:fmt="decimal"/>
          <w:formProt w:val="false"/>
          <w:textDirection w:val="lrTb"/>
          <w:docGrid w:type="default" w:linePitch="100" w:charSpace="11468"/>
        </w:sectPr>
        <w:pStyle w:val="Standard"/>
        <w:shd w:val="clear" w:color="auto" w:fill="FFFFFF"/>
        <w:spacing w:lineRule="auto" w:line="240" w:before="0" w:after="0"/>
        <w:jc w:val="center"/>
        <w:rPr>
          <w:lang w:val="lt-LT"/>
        </w:rPr>
      </w:pPr>
      <w:r>
        <w:rPr>
          <w:rFonts w:eastAsia="Calibri" w:cs="Calibri"/>
          <w:lang w:val="lt-LT"/>
        </w:rPr>
        <w:t>__________</w:t>
      </w:r>
    </w:p>
    <w:p>
      <w:pPr>
        <w:pStyle w:val="Heading1"/>
        <w:jc w:val="right"/>
        <w:rPr>
          <w:lang w:val="lt-LT"/>
        </w:rPr>
      </w:pPr>
      <w:bookmarkStart w:id="46" w:name="_Toc170854174"/>
      <w:r>
        <w:rPr>
          <w:rFonts w:cs="Calibri" w:ascii="Calibri" w:hAnsi="Calibri"/>
          <w:color w:val="0070C0"/>
          <w:sz w:val="21"/>
          <w:szCs w:val="21"/>
          <w:lang w:val="lt-LT"/>
        </w:rPr>
        <w:t>Pirkimo sąlygų 1 priedas „Terminai“</w:t>
      </w:r>
      <w:bookmarkEnd w:id="46"/>
    </w:p>
    <w:p>
      <w:pPr>
        <w:pStyle w:val="Standard"/>
        <w:shd w:val="clear" w:color="auto" w:fill="FFFFFF"/>
        <w:spacing w:lineRule="auto" w:line="240" w:before="0" w:after="0"/>
        <w:jc w:val="right"/>
        <w:rPr>
          <w:rFonts w:eastAsia="Calibri" w:cs="Calibri"/>
          <w:color w:val="0070C0"/>
          <w:lang w:val="lt-LT"/>
        </w:rPr>
      </w:pPr>
      <w:r>
        <w:rPr>
          <w:rFonts w:eastAsia="Calibri" w:cs="Calibri"/>
          <w:color w:val="0070C0"/>
          <w:lang w:val="lt-LT"/>
        </w:rPr>
      </w:r>
    </w:p>
    <w:tbl>
      <w:tblPr>
        <w:tblW w:w="9900" w:type="dxa"/>
        <w:jc w:val="left"/>
        <w:tblInd w:w="339" w:type="dxa"/>
        <w:tblLayout w:type="fixed"/>
        <w:tblCellMar>
          <w:top w:w="0" w:type="dxa"/>
          <w:left w:w="108" w:type="dxa"/>
          <w:bottom w:w="0" w:type="dxa"/>
          <w:right w:w="108" w:type="dxa"/>
        </w:tblCellMar>
        <w:tblLook w:firstRow="1" w:noVBand="1" w:lastRow="0" w:firstColumn="1" w:lastColumn="0" w:noHBand="0" w:val="04a0"/>
      </w:tblPr>
      <w:tblGrid>
        <w:gridCol w:w="555"/>
        <w:gridCol w:w="3405"/>
        <w:gridCol w:w="3270"/>
        <w:gridCol w:w="2669"/>
      </w:tblGrid>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spacing w:before="0" w:after="160"/>
              <w:jc w:val="center"/>
              <w:rPr>
                <w:lang w:val="lt-LT"/>
              </w:rPr>
            </w:pPr>
            <w:r>
              <w:rPr>
                <w:rFonts w:cs="Calibri"/>
                <w:b/>
                <w:bCs/>
                <w:lang w:val="lt-LT"/>
              </w:rPr>
              <w:t>Eil.Nr.</w:t>
            </w:r>
          </w:p>
        </w:tc>
        <w:tc>
          <w:tcPr>
            <w:tcW w:w="3405"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spacing w:before="0" w:after="160"/>
              <w:jc w:val="center"/>
              <w:rPr>
                <w:lang w:val="lt-LT"/>
              </w:rPr>
            </w:pPr>
            <w:r>
              <w:rPr>
                <w:rFonts w:cs="Calibri"/>
                <w:b/>
                <w:bCs/>
                <w:lang w:val="lt-LT"/>
              </w:rPr>
              <w:t>VEIKSMAS</w:t>
            </w:r>
          </w:p>
        </w:tc>
        <w:tc>
          <w:tcPr>
            <w:tcW w:w="3270"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spacing w:before="0" w:after="0"/>
              <w:jc w:val="center"/>
              <w:rPr>
                <w:lang w:val="lt-LT"/>
              </w:rPr>
            </w:pPr>
            <w:r>
              <w:rPr>
                <w:rFonts w:cs="Calibri"/>
                <w:b/>
                <w:lang w:val="lt-LT"/>
              </w:rPr>
              <w:t>DATA/DIENŲ SKAIČIUS/ LAIKAS</w:t>
            </w:r>
          </w:p>
          <w:p>
            <w:pPr>
              <w:pStyle w:val="Standard"/>
              <w:spacing w:before="0" w:after="0"/>
              <w:jc w:val="center"/>
              <w:rPr>
                <w:lang w:val="lt-LT"/>
              </w:rPr>
            </w:pPr>
            <w:r>
              <w:rPr>
                <w:rFonts w:cs="Calibri"/>
                <w:lang w:val="lt-LT"/>
              </w:rPr>
              <w:t>(Lietuvos laiku)</w:t>
            </w:r>
          </w:p>
        </w:tc>
        <w:tc>
          <w:tcPr>
            <w:tcW w:w="2669"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spacing w:before="0" w:after="160"/>
              <w:jc w:val="center"/>
              <w:rPr>
                <w:lang w:val="lt-LT"/>
              </w:rPr>
            </w:pPr>
            <w:r>
              <w:rPr>
                <w:rFonts w:cs="Calibri"/>
                <w:b/>
                <w:lang w:val="lt-LT"/>
              </w:rPr>
              <w:t>PASTABOS</w:t>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spacing w:lineRule="auto" w:line="240" w:before="0" w:after="0"/>
              <w:rPr>
                <w:lang w:val="lt-LT"/>
              </w:rPr>
            </w:pPr>
            <w:r>
              <w:rPr>
                <w:rFonts w:cs="Calibri"/>
                <w:bCs/>
                <w:lang w:val="lt-LT"/>
              </w:rPr>
              <w:t>1.</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spacing w:lineRule="auto" w:line="240" w:before="0" w:after="0"/>
              <w:rPr>
                <w:lang w:val="lt-LT"/>
              </w:rPr>
            </w:pPr>
            <w:r>
              <w:rPr>
                <w:rFonts w:cs="Calibri"/>
                <w:bCs/>
                <w:lang w:val="lt-LT"/>
              </w:rPr>
              <w:t>Pasiūlymų pateikimo terminas</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nurodytas skelbime</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lang w:val="lt-LT"/>
              </w:rPr>
              <w:t>Perkančioji organizacija turi teisę pratęsti pasiūlymų pateikimo terminą.</w:t>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spacing w:lineRule="auto" w:line="240" w:before="0" w:after="0"/>
              <w:rPr>
                <w:lang w:val="lt-LT"/>
              </w:rPr>
            </w:pPr>
            <w:r>
              <w:rPr>
                <w:rFonts w:cs="Calibri"/>
                <w:bCs/>
                <w:lang w:val="lt-LT"/>
              </w:rPr>
              <w:t>2.</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spacing w:lineRule="auto" w:line="240" w:before="0" w:after="0"/>
              <w:rPr>
                <w:lang w:val="lt-LT"/>
              </w:rPr>
            </w:pPr>
            <w:r>
              <w:rPr>
                <w:rFonts w:eastAsia="Times New Roman" w:cs="Calibri"/>
                <w:lang w:val="lt-LT"/>
              </w:rPr>
              <w:t>Pradinis susipažinimas su CVP IS priemonėmis gautais pasiūlymais</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 xml:space="preserve">Pradedamas ne anksčiau nei </w:t>
            </w:r>
            <w:r>
              <w:rPr>
                <w:rFonts w:cs="Calibri"/>
                <w:color w:val="000000"/>
                <w:lang w:val="lt-LT"/>
              </w:rPr>
              <w:t>po 45 minučių</w:t>
            </w:r>
            <w:r>
              <w:rPr>
                <w:rFonts w:cs="Calibri"/>
                <w:lang w:val="lt-LT"/>
              </w:rPr>
              <w:t xml:space="preserve"> po pasiūlymų pateikimo termino pabaigos</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rFonts w:cs="Calibri"/>
                <w:iCs/>
                <w:lang w:val="lt-LT"/>
              </w:rPr>
            </w:pPr>
            <w:r>
              <w:rPr>
                <w:rFonts w:cs="Calibri"/>
                <w:iCs/>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spacing w:lineRule="auto" w:line="240" w:before="0" w:after="0"/>
              <w:rPr>
                <w:lang w:val="lt-LT"/>
              </w:rPr>
            </w:pPr>
            <w:r>
              <w:rPr>
                <w:rFonts w:cs="Calibri"/>
                <w:bCs/>
                <w:lang w:val="lt-LT"/>
              </w:rPr>
              <w:t>3.</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spacing w:lineRule="auto" w:line="240" w:before="0" w:after="0"/>
              <w:rPr>
                <w:lang w:val="lt-LT"/>
              </w:rPr>
            </w:pPr>
            <w:r>
              <w:rPr>
                <w:rFonts w:cs="Calibri"/>
                <w:lang w:val="lt-LT"/>
              </w:rPr>
              <w:t>Prašymą paaiškinti, patikslinti pirkimo sąlygas tiekėjas turi pateikti ne vėliau kaip:</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color w:val="000000"/>
                <w:lang w:val="lt-LT"/>
              </w:rPr>
              <w:t>6</w:t>
            </w:r>
            <w:r>
              <w:rPr>
                <w:rFonts w:cs="Calibri"/>
                <w:color w:val="00B050"/>
                <w:lang w:val="lt-LT"/>
              </w:rPr>
              <w:t xml:space="preserve"> </w:t>
            </w:r>
            <w:r>
              <w:rPr>
                <w:rFonts w:cs="Calibri"/>
                <w:lang w:val="lt-LT"/>
              </w:rPr>
              <w:t>dienos iki pasiūlymų pateikimo termino dienos</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rFonts w:cs="Calibri"/>
                <w:iCs/>
                <w:color w:val="7030A0"/>
                <w:lang w:val="lt-LT"/>
              </w:rPr>
            </w:pPr>
            <w:r>
              <w:rPr>
                <w:rFonts w:cs="Calibri"/>
                <w:iCs/>
                <w:color w:val="7030A0"/>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4.</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lang w:val="lt-LT"/>
              </w:rPr>
              <w:t>Perkančioji organizacija pirkimo sąlygų paaiškinimą, patikslinimą pateikia visiems tiekėjams ne vėliau kaip:</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4 dienoms iki pasiūlymų pateikimo termino dienos</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rFonts w:cs="Calibri"/>
                <w:lang w:val="lt-LT"/>
              </w:rPr>
            </w:pPr>
            <w:r>
              <w:rPr>
                <w:rFonts w:cs="Calibri"/>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5.</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lang w:val="lt-LT"/>
              </w:rPr>
              <w:t>Objekto apžiūra bus vykdoma l</w:t>
            </w:r>
            <w:r>
              <w:rPr>
                <w:rFonts w:cs="Calibri"/>
                <w:iCs/>
                <w:lang w:val="lt-LT"/>
              </w:rPr>
              <w:t>ikus ne mažiau kaip</w:t>
            </w:r>
            <w:r>
              <w:rPr>
                <w:rFonts w:cs="Calibri"/>
                <w:lang w:val="lt-LT"/>
              </w:rPr>
              <w:t>:</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iCs/>
                <w:lang w:val="lt-LT"/>
              </w:rPr>
              <w:t>7 dienoms iki pasiūlymų pateikimo termino dienos</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rFonts w:cs="Calibri"/>
                <w:lang w:val="lt-LT"/>
              </w:rPr>
            </w:pPr>
            <w:r>
              <w:rPr>
                <w:rFonts w:cs="Calibri"/>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6.</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lang w:val="lt-LT"/>
              </w:rPr>
              <w:t>Perkančioji organizacija rengs susitikimus su tiekėjais dėl pirkimo sąlygų paaiškinimo</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iCs/>
                <w:lang w:val="lt-LT"/>
              </w:rPr>
              <w:t>NETAIKOMA</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rFonts w:cs="Calibri"/>
                <w:lang w:val="lt-LT"/>
              </w:rPr>
            </w:pPr>
            <w:r>
              <w:rPr>
                <w:rFonts w:cs="Calibri"/>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7.</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lang w:val="lt-LT"/>
              </w:rPr>
              <w:t>Tiekėjai turi pateikti prekių pavyzdžius</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lang w:val="lt-LT"/>
              </w:rPr>
            </w:pPr>
            <w:r>
              <w:rPr>
                <w:rFonts w:cs="Calibri" w:ascii="Calibri" w:hAnsi="Calibri"/>
                <w:color w:val="auto"/>
                <w:lang w:val="lt-LT"/>
              </w:rPr>
              <w:t>NETAIKOMA</w:t>
            </w:r>
          </w:p>
          <w:p>
            <w:pPr>
              <w:pStyle w:val="Standard"/>
              <w:spacing w:lineRule="auto" w:line="240" w:before="0" w:after="0"/>
              <w:jc w:val="both"/>
              <w:rPr>
                <w:rFonts w:cs="Calibri"/>
                <w:iCs/>
                <w:color w:val="00B050"/>
                <w:lang w:val="lt-LT"/>
              </w:rPr>
            </w:pPr>
            <w:r>
              <w:rPr>
                <w:rFonts w:cs="Calibri"/>
                <w:iCs/>
                <w:color w:val="00B050"/>
                <w:lang w:val="lt-LT"/>
              </w:rPr>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rFonts w:cs="Calibri"/>
                <w:lang w:val="lt-LT"/>
              </w:rPr>
            </w:pPr>
            <w:r>
              <w:rPr>
                <w:rFonts w:cs="Calibri"/>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8.</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Pasiūlymo galiojimo ir pasiūlymo galiojimo užtikrinimo (jei taikoma) terminas ne trumpesnis kaip</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iCs/>
                <w:lang w:val="lt-LT"/>
              </w:rPr>
              <w:t>90 (devyniasdešimt) dienų nuo pasiūlymų pateikimo galutinio termino pabaigos</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rFonts w:cs="Calibri"/>
                <w:lang w:val="lt-LT"/>
              </w:rPr>
            </w:pPr>
            <w:r>
              <w:rPr>
                <w:rFonts w:cs="Calibri"/>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lang w:val="lt-LT"/>
              </w:rPr>
              <w:t>9.</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lang w:val="lt-LT"/>
              </w:rPr>
              <w:t>Perkančioji organizacija atsako tiekėjui, ar ji sutinka priimti tiekėjo siūlomą pasiūlymo galiojimo užtikrinimą patvirtinantį dokumentą ne vėliau kaip per</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iCs/>
                <w:lang w:val="lt-LT"/>
              </w:rPr>
              <w:t xml:space="preserve">3 (tris) darbo dienas </w:t>
            </w:r>
            <w:r>
              <w:rPr>
                <w:rFonts w:cs="Calibri"/>
                <w:lang w:val="lt-LT"/>
              </w:rPr>
              <w:t>nuo prašymo gavimo dienos</w:t>
            </w:r>
          </w:p>
          <w:p>
            <w:pPr>
              <w:pStyle w:val="Standard"/>
              <w:spacing w:lineRule="auto" w:line="240" w:before="0" w:after="0"/>
              <w:jc w:val="both"/>
              <w:rPr>
                <w:rFonts w:cs="Calibri"/>
                <w:iCs/>
                <w:lang w:val="lt-LT"/>
              </w:rPr>
            </w:pPr>
            <w:r>
              <w:rPr>
                <w:rFonts w:cs="Calibri"/>
                <w:iCs/>
                <w:lang w:val="lt-LT"/>
              </w:rPr>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cs="Calibri"/>
                <w:lang w:val="lt-LT"/>
              </w:rPr>
            </w:pPr>
            <w:r>
              <w:rPr>
                <w:rFonts w:cs="Calibri"/>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10.</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color w:val="000000"/>
                <w:lang w:val="lt-LT"/>
              </w:rPr>
              <w:t>Pasiūlymo galiojimo užtikrinimas pirkimo dalyviui grąžinamas (arba atsisakoma teisių į jį) per</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5 (penkias) darbo dienas nuo prašymo gavimo dienos</w:t>
            </w:r>
          </w:p>
          <w:p>
            <w:pPr>
              <w:pStyle w:val="Standard"/>
              <w:spacing w:lineRule="auto" w:line="240" w:before="0" w:after="0"/>
              <w:jc w:val="both"/>
              <w:rPr>
                <w:rFonts w:cs="Calibri"/>
                <w:lang w:val="lt-LT"/>
              </w:rPr>
            </w:pPr>
            <w:r>
              <w:rPr>
                <w:rFonts w:cs="Calibri"/>
                <w:lang w:val="lt-LT"/>
              </w:rPr>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cs="Calibri"/>
                <w:lang w:val="lt-LT"/>
              </w:rPr>
            </w:pPr>
            <w:r>
              <w:rPr>
                <w:rFonts w:cs="Calibri"/>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11.</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Perkančioji organizacija informuoja pirkimo dalyvius apie EBVPD vertinimo rezultatus ne vėliau kaip per</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bCs/>
                <w:lang w:val="lt-LT"/>
              </w:rPr>
              <w:t>3 (tris) darbo dienas nuo sprendimo priėmimo dienos</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rFonts w:cs="Calibri"/>
                <w:bCs/>
                <w:lang w:val="lt-LT"/>
              </w:rPr>
            </w:pPr>
            <w:r>
              <w:rPr>
                <w:rFonts w:cs="Calibri"/>
                <w:bCs/>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12.</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 xml:space="preserve">Perkančioji organizacija pirkimo dalyviams praneša apie priimtą sprendimą nustatyti laimėjusį pasiūlymą, </w:t>
            </w:r>
            <w:r>
              <w:rPr>
                <w:rFonts w:cs="Calibri"/>
                <w:lang w:val="lt-LT"/>
              </w:rPr>
              <w:t>dėl kurio bus sudaroma</w:t>
            </w:r>
            <w:r>
              <w:rPr>
                <w:rFonts w:cs="Calibri"/>
                <w:bCs/>
                <w:lang w:val="lt-LT"/>
              </w:rPr>
              <w:t xml:space="preserve"> sutartis ne vėliau kaip per</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bCs/>
                <w:lang w:val="lt-LT"/>
              </w:rPr>
              <w:t>3 (tris) darbo dienas nuo sprendimo priėmimo dienos</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rFonts w:cs="Calibri"/>
                <w:lang w:val="lt-LT"/>
              </w:rPr>
            </w:pPr>
            <w:r>
              <w:rPr>
                <w:rFonts w:cs="Calibri"/>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13.</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Perkančioji organizacija, pirkimo dalyviui raštu paprašius, jam pateikia VPĮ 58 straipsnio 2 dalyje nustatytą informaciją ne vėliau kaip per</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bCs/>
                <w:lang w:val="lt-LT"/>
              </w:rPr>
              <w:t>15 (penkiolika) dienų nuo pirkimo dalyvio raštu pateikto prašymo gavimo dienos</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Tajtip"/>
              <w:shd w:val="clear" w:color="auto" w:fill="FFFFFF"/>
              <w:spacing w:before="0" w:after="0"/>
              <w:ind w:firstLine="313"/>
              <w:rPr>
                <w:rFonts w:ascii="Calibri" w:hAnsi="Calibri" w:cs="Calibri"/>
                <w:sz w:val="21"/>
                <w:szCs w:val="21"/>
                <w:lang w:val="lt-LT"/>
              </w:rPr>
            </w:pPr>
            <w:r>
              <w:rPr>
                <w:rFonts w:cs="Calibri" w:ascii="Calibri" w:hAnsi="Calibri"/>
                <w:sz w:val="21"/>
                <w:szCs w:val="21"/>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14.</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color w:val="000000"/>
                <w:shd w:fill="FFFFFF" w:val="clear"/>
                <w:lang w:val="lt-LT"/>
              </w:rPr>
              <w:t xml:space="preserve">Tiekėjas turi teisę pateikti pretenziją perkančiajai organizacijai, pateikti prašymą ar pareikšti ieškinį teismui </w:t>
            </w:r>
            <w:r>
              <w:rPr>
                <w:rFonts w:cs="Calibri"/>
                <w:bCs/>
                <w:lang w:val="lt-LT"/>
              </w:rPr>
              <w:t>ne vėliau kaip per</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 xml:space="preserve">5 (penkias) darbo dienas nuo </w:t>
            </w:r>
            <w:r>
              <w:rPr>
                <w:rFonts w:eastAsia="Arial" w:cs="Calibri"/>
                <w:lang w:val="lt-LT"/>
              </w:rPr>
              <w:t>perkančiosios organizacijos</w:t>
            </w:r>
            <w:r>
              <w:rPr>
                <w:rFonts w:cs="Calibri"/>
                <w:lang w:val="lt-LT"/>
              </w:rPr>
              <w:t xml:space="preserve"> pranešimo raštu apie jos priimtą sprendimą išsiuntimo tiekėjams dienos arba nuo paskelbimo apie </w:t>
            </w:r>
            <w:r>
              <w:rPr>
                <w:rFonts w:eastAsia="Arial" w:cs="Calibri"/>
                <w:lang w:val="lt-LT"/>
              </w:rPr>
              <w:t>perkančiosios organizacijos</w:t>
            </w:r>
            <w:r>
              <w:rPr>
                <w:rFonts w:cs="Calibri"/>
                <w:lang w:val="lt-LT"/>
              </w:rPr>
              <w:t xml:space="preserve"> priimtus sprendimus dienos, jei VPĮ nenumato reikalavimo raštu informuoti tiekėjus apie </w:t>
            </w:r>
            <w:r>
              <w:rPr>
                <w:rFonts w:eastAsia="Arial" w:cs="Calibri"/>
                <w:lang w:val="lt-LT"/>
              </w:rPr>
              <w:t xml:space="preserve"> perkančiosios organizacijos</w:t>
            </w:r>
            <w:r>
              <w:rPr>
                <w:rFonts w:cs="Calibri"/>
                <w:lang w:val="lt-LT"/>
              </w:rPr>
              <w:t xml:space="preserve"> priimtus sprendimus;</w:t>
            </w:r>
          </w:p>
          <w:p>
            <w:pPr>
              <w:pStyle w:val="Standard"/>
              <w:spacing w:lineRule="auto" w:line="240" w:before="0" w:after="0"/>
              <w:jc w:val="both"/>
              <w:rPr>
                <w:lang w:val="lt-LT"/>
              </w:rPr>
            </w:pPr>
            <w:r>
              <w:rPr>
                <w:rFonts w:cs="Calibri"/>
                <w:lang w:val="lt-LT"/>
              </w:rPr>
              <w:t>15 (penkiolika) dienų nuo pranešimo išsiuntimo tiekėjams dienos, jeigu šis pranešimas nebuvo siunčiamas elektroninėmis priemonėmis.</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rFonts w:cs="Calibri"/>
                <w:bCs/>
                <w:lang w:val="lt-LT"/>
              </w:rPr>
            </w:pPr>
            <w:r>
              <w:rPr>
                <w:rFonts w:cs="Calibri"/>
                <w:bCs/>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lang w:val="lt-LT"/>
              </w:rPr>
              <w:t>15.</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lang w:val="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6 (šešias) darbo dienas nuo pretenzijos gavimo dienos</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rFonts w:cs="Calibri"/>
                <w:lang w:val="lt-LT"/>
              </w:rPr>
            </w:pPr>
            <w:r>
              <w:rPr>
                <w:rFonts w:cs="Calibri"/>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bCs/>
                <w:lang w:val="lt-LT"/>
              </w:rPr>
              <w:t>16.</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lang w:val="lt-LT"/>
              </w:rPr>
              <w:t>Jeigu perkančioji organizacija per nustatytą terminą neišnagrinėja jai pateiktos pretenzijos, tiekėjas turi teisę pateikti prašymą ar pareikšti ieškinį teismui per</w:t>
            </w:r>
            <w:r>
              <w:rPr>
                <w:rFonts w:cs="Calibri"/>
                <w:bCs/>
                <w:lang w:val="lt-LT"/>
              </w:rPr>
              <w:t xml:space="preserve"> (išskyrus ieškinį dėl sutarties pripažinimo negaliojančia arba ieškinį dėl nepagrįsto sutarties nutraukimo dėl esminio pirkimo sutarties pažeidimo ar nepagrįsto sprendimo, </w:t>
            </w:r>
            <w:r>
              <w:rPr>
                <w:rFonts w:cs="Calibri"/>
                <w:bCs/>
                <w:color w:val="000000"/>
                <w:lang w:val="lt-LT"/>
              </w:rPr>
              <w:t>kad tiek</w:t>
            </w:r>
            <w:r>
              <w:rPr>
                <w:color w:val="000000"/>
                <w:lang w:val="lt-LT"/>
              </w:rPr>
              <w:t>ėjas pirkimo sutartyje nustatytą esminę pirkimo sutarties sąlygą vykdė su dideliais arba nuolatiniais trūkumais ir dėl to perkančioji organizacija pritaikė sutartyje nustatytą sankciją)</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per 15 (penkiolika) dienų nuo dienos, kurią perkančioji organizacija turėjo raštu pranešti apie priimtą sprendimą pretenziją pateikusiam tiekėjui,   suinteresuotiems pirkimo dalyviams.</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rFonts w:cs="Calibri"/>
                <w:lang w:val="lt-LT"/>
              </w:rPr>
            </w:pPr>
            <w:r>
              <w:rPr>
                <w:rFonts w:cs="Calibri"/>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lang w:val="lt-LT"/>
              </w:rPr>
              <w:t>17.</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lang w:val="lt-LT"/>
              </w:rPr>
              <w:t>Perkančioji organizacija negali sudaryti sutarties anksčiau kaip po</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bCs/>
                <w:lang w:val="lt-LT"/>
              </w:rPr>
              <w:t>5 (penkių) darbo dienų,</w:t>
            </w:r>
            <w:r>
              <w:rPr>
                <w:rFonts w:cs="Calibri"/>
                <w:lang w:val="lt-LT"/>
              </w:rPr>
              <w:t xml:space="preserve"> nuo pranešimo apie sprendimą nustatyti laimėjusį pirkimo pasiūlymą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rFonts w:cs="Calibri"/>
                <w:lang w:val="lt-LT"/>
              </w:rPr>
            </w:pPr>
            <w:r>
              <w:rPr>
                <w:rFonts w:cs="Calibri"/>
                <w:lang w:val="lt-LT"/>
              </w:rPr>
            </w:r>
          </w:p>
        </w:tc>
      </w:tr>
      <w:tr>
        <w:trPr>
          <w:trHeight w:val="20" w:hRule="atLeast"/>
        </w:trPr>
        <w:tc>
          <w:tcPr>
            <w:tcW w:w="5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lang w:val="lt-LT"/>
              </w:rPr>
              <w:t>18.</w:t>
            </w:r>
          </w:p>
        </w:tc>
        <w:tc>
          <w:tcPr>
            <w:tcW w:w="340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lang w:val="lt-LT"/>
              </w:rPr>
            </w:pPr>
            <w:r>
              <w:rPr>
                <w:rFonts w:cs="Calibri"/>
                <w:lang w:val="lt-LT"/>
              </w:rPr>
              <w:t xml:space="preserve">Jeigu </w:t>
            </w:r>
            <w:r>
              <w:rPr>
                <w:rFonts w:cs="Calibri"/>
                <w:iCs/>
                <w:lang w:val="lt-LT"/>
              </w:rPr>
              <w:t>suinteresuotas dalyvis paprašys perkančiosios organizacijos pateikti laimėjusį pasiūlymą</w:t>
            </w:r>
          </w:p>
        </w:tc>
        <w:tc>
          <w:tcPr>
            <w:tcW w:w="327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iCs/>
                <w:lang w:val="lt-L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66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rPr>
                <w:rFonts w:cs="Calibri"/>
                <w:lang w:val="lt-LT"/>
              </w:rPr>
            </w:pPr>
            <w:r>
              <w:rPr>
                <w:rFonts w:cs="Calibri"/>
                <w:lang w:val="lt-LT"/>
              </w:rPr>
            </w:r>
          </w:p>
        </w:tc>
      </w:tr>
    </w:tbl>
    <w:p>
      <w:pPr>
        <w:sectPr>
          <w:footerReference w:type="even" r:id="rId6"/>
          <w:footerReference w:type="default" r:id="rId7"/>
          <w:footerReference w:type="first" r:id="rId8"/>
          <w:type w:val="nextPage"/>
          <w:pgSz w:w="12240" w:h="15840"/>
          <w:pgMar w:left="1701" w:right="567" w:gutter="0" w:header="0" w:top="1134" w:footer="720" w:bottom="1134"/>
          <w:pgNumType w:start="22" w:fmt="decimal"/>
          <w:formProt w:val="false"/>
          <w:textDirection w:val="lrTb"/>
          <w:docGrid w:type="default" w:linePitch="100" w:charSpace="11468"/>
        </w:sectPr>
      </w:pPr>
      <w:r>
        <w:br w:type="page"/>
      </w:r>
    </w:p>
    <w:p>
      <w:pPr>
        <w:pStyle w:val="Heading2"/>
        <w:spacing w:before="0" w:after="0"/>
        <w:ind w:left="5670"/>
        <w:rPr>
          <w:lang w:val="lt-LT"/>
        </w:rPr>
      </w:pPr>
      <w:bookmarkStart w:id="47" w:name="_Ref38885053"/>
      <w:bookmarkStart w:id="48" w:name="_Ref38541068"/>
      <w:bookmarkStart w:id="49" w:name="_Ref38539939"/>
      <w:bookmarkStart w:id="50" w:name="_Toc170854175"/>
      <w:bookmarkStart w:id="51" w:name="_Ref38899023"/>
      <w:r>
        <w:rPr>
          <w:rFonts w:eastAsia="Calibri" w:cs="Calibri" w:ascii="Calibri" w:hAnsi="Calibri"/>
          <w:color w:val="0070C0"/>
          <w:sz w:val="21"/>
          <w:szCs w:val="21"/>
          <w:lang w:val="lt-LT"/>
        </w:rPr>
        <w:t>Pirkimo sąlygų 2 priedas „Techninė specifikacija“</w:t>
      </w:r>
      <w:bookmarkEnd w:id="47"/>
      <w:bookmarkEnd w:id="48"/>
      <w:bookmarkEnd w:id="49"/>
      <w:bookmarkEnd w:id="50"/>
      <w:bookmarkEnd w:id="51"/>
    </w:p>
    <w:p>
      <w:pPr>
        <w:pStyle w:val="Standard"/>
        <w:suppressAutoHyphens w:val="false"/>
        <w:spacing w:before="280" w:after="0"/>
        <w:jc w:val="center"/>
        <w:rPr>
          <w:lang w:val="lt-LT"/>
        </w:rPr>
      </w:pPr>
      <w:r>
        <w:rPr>
          <w:rFonts w:eastAsia="Times New Roman" w:cs="Calibri"/>
          <w:bCs/>
          <w:sz w:val="28"/>
          <w:szCs w:val="28"/>
          <w:lang w:val="lt-LT"/>
        </w:rPr>
        <w:t>TECHNINĖ SPECIFIKACIJA</w:t>
      </w:r>
    </w:p>
    <w:p>
      <w:pPr>
        <w:pStyle w:val="Standard"/>
        <w:suppressAutoHyphens w:val="false"/>
        <w:spacing w:lineRule="auto" w:line="240" w:before="0" w:after="0"/>
        <w:ind w:hanging="426" w:left="426"/>
        <w:jc w:val="center"/>
        <w:rPr>
          <w:rFonts w:eastAsia="Times New Roman" w:cs="Calibri"/>
          <w:bCs/>
          <w:sz w:val="12"/>
          <w:szCs w:val="12"/>
          <w:lang w:val="lt-LT"/>
        </w:rPr>
      </w:pPr>
      <w:r>
        <w:rPr>
          <w:rFonts w:eastAsia="Times New Roman" w:cs="Calibri"/>
          <w:bCs/>
          <w:sz w:val="12"/>
          <w:szCs w:val="12"/>
          <w:lang w:val="lt-LT"/>
        </w:rPr>
      </w:r>
    </w:p>
    <w:p>
      <w:pPr>
        <w:pStyle w:val="Standard"/>
        <w:tabs>
          <w:tab w:val="clear" w:pos="720"/>
          <w:tab w:val="left" w:pos="852" w:leader="none"/>
        </w:tabs>
        <w:suppressAutoHyphens w:val="false"/>
        <w:spacing w:lineRule="auto" w:line="240" w:before="0" w:after="0"/>
        <w:jc w:val="both"/>
        <w:rPr>
          <w:lang w:val="lt-LT"/>
        </w:rPr>
      </w:pPr>
      <w:r>
        <w:rPr>
          <w:rFonts w:eastAsia="Times New Roman" w:cs="Calibri"/>
          <w:b/>
          <w:bCs/>
          <w:lang w:val="lt-LT"/>
        </w:rPr>
        <w:t>1. PIRKIMO OBJEKTAS:</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1.1. Prienų r. pirminės sveikatos priežiūros centro (PSPC) rekonstravimo darbai.</w:t>
      </w:r>
    </w:p>
    <w:p>
      <w:pPr>
        <w:pStyle w:val="Standard"/>
        <w:tabs>
          <w:tab w:val="clear" w:pos="720"/>
          <w:tab w:val="left" w:pos="852" w:leader="none"/>
        </w:tabs>
        <w:suppressAutoHyphens w:val="false"/>
        <w:spacing w:lineRule="auto" w:line="240" w:before="0" w:after="0"/>
        <w:ind w:left="426"/>
        <w:jc w:val="both"/>
        <w:rPr>
          <w:rFonts w:eastAsia="Times New Roman" w:cs="Calibri"/>
          <w:b/>
          <w:bCs/>
          <w:lang w:val="lt-LT"/>
        </w:rPr>
      </w:pPr>
      <w:r>
        <w:rPr>
          <w:rFonts w:eastAsia="Times New Roman" w:cs="Calibri"/>
          <w:b/>
          <w:bCs/>
          <w:lang w:val="lt-LT"/>
        </w:rPr>
      </w:r>
    </w:p>
    <w:p>
      <w:pPr>
        <w:pStyle w:val="Standard"/>
        <w:tabs>
          <w:tab w:val="clear" w:pos="720"/>
          <w:tab w:val="left" w:pos="852" w:leader="none"/>
        </w:tabs>
        <w:suppressAutoHyphens w:val="false"/>
        <w:spacing w:lineRule="auto" w:line="240" w:before="0" w:after="0"/>
        <w:jc w:val="both"/>
        <w:rPr>
          <w:lang w:val="lt-LT"/>
        </w:rPr>
      </w:pPr>
      <w:r>
        <w:rPr>
          <w:rFonts w:eastAsia="Times New Roman" w:cs="Calibri"/>
          <w:b/>
          <w:bCs/>
          <w:lang w:val="lt-LT"/>
        </w:rPr>
        <w:t>2. UŽSAKOVAS:</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2.1.  Prienų r. PSPC (toliau – Užsakovas).</w:t>
      </w:r>
    </w:p>
    <w:p>
      <w:pPr>
        <w:pStyle w:val="Standard"/>
        <w:tabs>
          <w:tab w:val="clear" w:pos="720"/>
          <w:tab w:val="left" w:pos="852" w:leader="none"/>
        </w:tabs>
        <w:suppressAutoHyphens w:val="false"/>
        <w:spacing w:lineRule="auto" w:line="240" w:before="0" w:after="0"/>
        <w:ind w:hanging="426" w:left="426"/>
        <w:jc w:val="both"/>
        <w:rPr>
          <w:rFonts w:eastAsia="Times New Roman" w:cs="Calibri"/>
          <w:lang w:val="lt-LT"/>
        </w:rPr>
      </w:pPr>
      <w:r>
        <w:rPr>
          <w:rFonts w:eastAsia="Times New Roman" w:cs="Calibri"/>
          <w:lang w:val="lt-LT"/>
        </w:rPr>
      </w:r>
    </w:p>
    <w:p>
      <w:pPr>
        <w:pStyle w:val="Standard"/>
        <w:tabs>
          <w:tab w:val="clear" w:pos="720"/>
          <w:tab w:val="left" w:pos="852" w:leader="none"/>
        </w:tabs>
        <w:suppressAutoHyphens w:val="false"/>
        <w:spacing w:lineRule="auto" w:line="240" w:before="0" w:after="0"/>
        <w:jc w:val="both"/>
        <w:rPr>
          <w:lang w:val="lt-LT"/>
        </w:rPr>
      </w:pPr>
      <w:r>
        <w:rPr>
          <w:rFonts w:eastAsia="Times New Roman" w:cs="Calibri"/>
          <w:b/>
          <w:bCs/>
          <w:lang w:val="lt-LT"/>
        </w:rPr>
        <w:t>3. PAGRINDINIAI REIKALAVIMAI:</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3.1.</w:t>
        <w:tab/>
        <w:t>Prienų r. PSPC rekonstravimo darbai apima:</w:t>
      </w:r>
    </w:p>
    <w:p>
      <w:pPr>
        <w:pStyle w:val="Standard"/>
        <w:tabs>
          <w:tab w:val="clear" w:pos="720"/>
          <w:tab w:val="left" w:pos="624" w:leader="none"/>
        </w:tabs>
        <w:suppressAutoHyphens w:val="false"/>
        <w:spacing w:lineRule="auto" w:line="240" w:before="0" w:after="0"/>
        <w:ind w:hanging="397" w:left="397"/>
        <w:jc w:val="both"/>
        <w:rPr>
          <w:lang w:val="lt-LT"/>
        </w:rPr>
      </w:pPr>
      <w:r>
        <w:rPr>
          <w:rFonts w:eastAsia="Times New Roman" w:cs="Calibri"/>
          <w:lang w:val="lt-LT"/>
        </w:rPr>
        <w:t>3.1.1. darbo projekto parengimą  pagal techninį projektą „Gydymo paskirties pastato, Revuonos g. 4, Prienai, rekonstravimo projektas“ (toliau – Projektas) ir statybos darbus pagal jį;</w:t>
      </w:r>
    </w:p>
    <w:p>
      <w:pPr>
        <w:pStyle w:val="Standard"/>
        <w:tabs>
          <w:tab w:val="clear" w:pos="720"/>
          <w:tab w:val="left" w:pos="624" w:leader="none"/>
        </w:tabs>
        <w:suppressAutoHyphens w:val="false"/>
        <w:spacing w:lineRule="auto" w:line="240" w:before="0" w:after="0"/>
        <w:ind w:hanging="397" w:left="397"/>
        <w:jc w:val="both"/>
        <w:rPr>
          <w:lang w:val="lt-LT"/>
        </w:rPr>
      </w:pPr>
      <w:r>
        <w:rPr>
          <w:rFonts w:eastAsia="Times New Roman" w:cs="Calibri"/>
          <w:lang w:val="lt-LT"/>
        </w:rPr>
        <w:t>3.1.2. elektroninio statybos darbų žurnalo išpirkimą ir pildymą vadovaujantis STR 1.06.01:2016 „Statybos darbai. Statinio statybos priežiūra“.</w:t>
      </w:r>
    </w:p>
    <w:p>
      <w:pPr>
        <w:pStyle w:val="Standard"/>
        <w:tabs>
          <w:tab w:val="clear" w:pos="720"/>
          <w:tab w:val="left" w:pos="624" w:leader="none"/>
        </w:tabs>
        <w:suppressAutoHyphens w:val="false"/>
        <w:spacing w:lineRule="auto" w:line="240" w:before="0" w:after="0"/>
        <w:ind w:hanging="397" w:left="397"/>
        <w:jc w:val="both"/>
        <w:rPr>
          <w:lang w:val="lt-LT"/>
        </w:rPr>
      </w:pPr>
      <w:r>
        <w:rPr>
          <w:rFonts w:eastAsia="Times New Roman" w:cs="Calibri"/>
          <w:lang w:val="lt-LT"/>
        </w:rPr>
        <w:t>3.1.3. statybos darbams suvartotos elektros, sunaudoto vandens ir išleistų nuotekų apskaitą ir apmokėjimą;</w:t>
      </w:r>
    </w:p>
    <w:p>
      <w:pPr>
        <w:pStyle w:val="Standard"/>
        <w:tabs>
          <w:tab w:val="clear" w:pos="720"/>
          <w:tab w:val="left" w:pos="624" w:leader="none"/>
        </w:tabs>
        <w:suppressAutoHyphens w:val="false"/>
        <w:spacing w:lineRule="auto" w:line="240" w:before="0" w:after="0"/>
        <w:ind w:hanging="397" w:left="397"/>
        <w:jc w:val="both"/>
        <w:rPr>
          <w:lang w:val="lt-LT"/>
        </w:rPr>
      </w:pPr>
      <w:r>
        <w:rPr>
          <w:rFonts w:eastAsia="Times New Roman" w:cs="Calibri"/>
          <w:lang w:val="lt-LT"/>
        </w:rPr>
        <w:t>3.1.4. atliekų apskaitos žurnalo pildymą, susidariusių ir perduotų tvarkyti statybinių atliekų apskaitos vedimą, jų kiekio nurodymą, atliekų apskaitos ataskaitų teikimą;</w:t>
      </w:r>
    </w:p>
    <w:p>
      <w:pPr>
        <w:pStyle w:val="Standard"/>
        <w:tabs>
          <w:tab w:val="clear" w:pos="720"/>
          <w:tab w:val="left" w:pos="624" w:leader="none"/>
        </w:tabs>
        <w:suppressAutoHyphens w:val="false"/>
        <w:spacing w:lineRule="auto" w:line="240" w:before="0" w:after="0"/>
        <w:ind w:hanging="397" w:left="397"/>
        <w:jc w:val="both"/>
        <w:rPr>
          <w:lang w:val="lt-LT"/>
        </w:rPr>
      </w:pPr>
      <w:r>
        <w:rPr>
          <w:rFonts w:eastAsia="Times New Roman" w:cs="Calibri"/>
          <w:lang w:val="lt-LT"/>
        </w:rPr>
        <w:t>3.1.5. teritorijos sutvarkymą po atliktų darbų;</w:t>
      </w:r>
    </w:p>
    <w:p>
      <w:pPr>
        <w:pStyle w:val="Standard"/>
        <w:tabs>
          <w:tab w:val="clear" w:pos="720"/>
          <w:tab w:val="left" w:pos="624" w:leader="none"/>
        </w:tabs>
        <w:suppressAutoHyphens w:val="false"/>
        <w:spacing w:lineRule="auto" w:line="240" w:before="0" w:after="0"/>
        <w:ind w:hanging="397" w:left="397"/>
        <w:jc w:val="both"/>
        <w:rPr>
          <w:lang w:val="lt-LT"/>
        </w:rPr>
      </w:pPr>
      <w:r>
        <w:rPr>
          <w:rFonts w:eastAsia="Times New Roman" w:cs="Calibri"/>
          <w:lang w:val="lt-LT"/>
        </w:rPr>
        <w:t>3.1.6. darbo projekto, visos išpildomosios dokumentacijos, statinių ir sklypo kadastrinių bylų (pdf ir dwg formatais), energinio naudingumo sertifikato paruošimą ir kt. dokumentų susijusių su sutarties įgyvendinimu (privalomų draudimų, įsakymų, elektroninio statybos darbų žurnalo, privalomų bandymų) pateikimą el. laikmenoje;</w:t>
      </w:r>
    </w:p>
    <w:p>
      <w:pPr>
        <w:pStyle w:val="Standard"/>
        <w:tabs>
          <w:tab w:val="clear" w:pos="720"/>
          <w:tab w:val="left" w:pos="624" w:leader="none"/>
        </w:tabs>
        <w:suppressAutoHyphens w:val="false"/>
        <w:spacing w:lineRule="auto" w:line="240" w:before="0" w:after="0"/>
        <w:ind w:hanging="397" w:left="397"/>
        <w:jc w:val="both"/>
        <w:rPr>
          <w:lang w:val="lt-LT"/>
        </w:rPr>
      </w:pPr>
      <w:r>
        <w:rPr>
          <w:rFonts w:eastAsia="Times New Roman" w:cs="Calibri"/>
          <w:lang w:val="lt-LT"/>
        </w:rPr>
        <w:t>3.1.7. visų dokumentų būtinų statybos užbaigimo procedūroms atlikti parengimą (pagal STR 1.05.01:2017 10 priedą) ir statybos užbaigimo procedūros atlikimą (išskyrus rinkliavą už statybos užbaigimo akto išdavimą).</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3.2. Rangovas yra atsakingas už visus savo veiksmus ir statybos darbų metodų tinkamumą, patikimumą bei darbų saugą ir priešgaisrinę saugą statybos objekte visą darbų vykdymo laikotarpį.</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3.3. Rangovas atsakingas už darbų koordinavimą statybvietėje su tiekėjais ir kitais subrangovais. Rangovas privalo informuoti atsakingus darbuotojus kada galima tikrinti medžiagų ir įvairių stadijų darbų kokybę, prieš įrengiant kitas konstrukcijas ar atliekant darbus.</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3.4. Rangovas prieš darbų pradžią turi suderinti su Užsakovu naudojamas medžiagas, jų spalvas, tipą, dydį ir savybes Visos rangovo siūlomos naudoti medžiagos ir atliekami darbai turi atitikti aplinkos apsaugos reikalavimus, nurodytus Aplinkos apsaugos kriterijų taikymo, vykdant žaliuosius pirkimus, tvarkos apraše (toliau – Aprašas), patvir-tintame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Teikdamas pasiūlymą rangovas įsipareigoja, kad darbai bus atlikti naudojant statybines medžiagas ir kitus su pastato projektu susijusius produktus, atitinkančius minimalius aplin-kos apsaugos kriterijus, nurodytus Aprašo XIII –XVI skyriuose.</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 xml:space="preserve">3.5.  </w:t>
      </w:r>
      <w:r>
        <w:rPr>
          <w:rFonts w:eastAsia="Times New Roman" w:cs="Calibri"/>
          <w:shd w:fill="auto" w:val="clear"/>
          <w:lang w:val="lt-LT"/>
        </w:rPr>
        <w:t>Rangovas turi užtikrinti, kad mažiausiai 70 proc. (pagal svorį) nepavojingų statybinių ir griovimo atliekų (išskyrus natūraliai atsirandančias medžiagas, nurodytas atliekų sąrašo, nustatyto 2000 m. gegužės 3 d. Europos Komisijos sprendime, keičiančiame sprendimą 94/3/EB, nustatantį atliekų sąrašą pagal Europos Parlamento ir Tarybos direktyvos 75/442/EEB dėl atliekų 1 straipsnio a dalį, ir Tarybos sprendimą 94/904/EB, nustatantį pavojingų atliekų sąrašą pagal Europos Parlamento ir Tarybos direktyvos 91/689/EEB dėl pavojingų medžiagų 1 straipsnio 4 dalį (toliau - 2000/532/EB) 17 05 04 kategorijoje), statybvietėje susidarančios atliekos būtų parengtos pakartotiniam naudojimui, perdirbimui ir kitoms medžiagų panaudojimo galimybėms, įskaitant užpildymo operacijas, naudojant atliekas kitoms medžiagoms pakeisti, laikantis atliekų hierarchijos ir ES statybos ir griovimo atliekų tvarkymo protokolo.</w:t>
      </w:r>
    </w:p>
    <w:p>
      <w:pPr>
        <w:pStyle w:val="Standard"/>
        <w:tabs>
          <w:tab w:val="clear" w:pos="720"/>
          <w:tab w:val="left" w:pos="852" w:leader="none"/>
        </w:tabs>
        <w:suppressAutoHyphens w:val="false"/>
        <w:spacing w:lineRule="auto" w:line="240" w:before="0" w:after="0"/>
        <w:ind w:hanging="426" w:left="426"/>
        <w:jc w:val="both"/>
        <w:rPr>
          <w:highlight w:val="none"/>
          <w:shd w:fill="auto" w:val="clear"/>
        </w:rPr>
      </w:pPr>
      <w:r>
        <w:rPr>
          <w:rFonts w:eastAsia="Calibri" w:cs="Times New Roman"/>
          <w:kern w:val="2"/>
          <w:shd w:fill="auto" w:val="clear"/>
          <w:lang w:val="lt-LT" w:eastAsia="en-US"/>
        </w:rPr>
        <w:t>3.6. Po statybos darbų Rangovas turi pateikti laisvos formos deklaraciją, kuria patvirtintų, kad atliekant statybos darbus, buvo užtikrint</w:t>
      </w:r>
      <w:r>
        <w:rPr>
          <w:rFonts w:eastAsia="Calibri" w:cs="Times New Roman"/>
          <w:kern w:val="2"/>
          <w:shd w:fill="auto" w:val="clear"/>
          <w:lang w:val="en-US" w:eastAsia="en-US"/>
        </w:rPr>
        <w:t>i</w:t>
      </w:r>
      <w:r>
        <w:rPr>
          <w:rFonts w:eastAsia="Calibri" w:cs="Times New Roman"/>
          <w:kern w:val="2"/>
          <w:shd w:fill="auto" w:val="clear"/>
          <w:lang w:val="lt-LT" w:eastAsia="en-US"/>
        </w:rPr>
        <w:t xml:space="preserve"> 3.5 punkt</w:t>
      </w:r>
      <w:r>
        <w:rPr>
          <w:rFonts w:eastAsia="Calibri" w:cs="Times New Roman"/>
          <w:kern w:val="2"/>
          <w:shd w:fill="auto" w:val="clear"/>
          <w:lang w:val="en-US" w:eastAsia="en-US"/>
        </w:rPr>
        <w:t>o</w:t>
      </w:r>
      <w:r>
        <w:rPr>
          <w:rFonts w:eastAsia="Calibri" w:cs="Times New Roman"/>
          <w:kern w:val="2"/>
          <w:shd w:fill="auto" w:val="clear"/>
          <w:lang w:val="lt-LT" w:eastAsia="en-US"/>
        </w:rPr>
        <w:t xml:space="preserve"> </w:t>
      </w:r>
      <w:r>
        <w:rPr>
          <w:rFonts w:eastAsia="Calibri" w:cs="Times New Roman"/>
          <w:kern w:val="2"/>
          <w:shd w:fill="auto" w:val="clear"/>
          <w:lang w:val="en-US" w:eastAsia="en-US"/>
        </w:rPr>
        <w:t xml:space="preserve">ir Projekte numatyti statybinių atliekų tvarkymo </w:t>
      </w:r>
      <w:r>
        <w:rPr>
          <w:rFonts w:eastAsia="Calibri" w:cs="Times New Roman"/>
          <w:kern w:val="2"/>
          <w:shd w:fill="auto" w:val="clear"/>
          <w:lang w:val="lt-LT" w:eastAsia="en-US"/>
        </w:rPr>
        <w:t>reikalavima</w:t>
      </w:r>
      <w:r>
        <w:rPr>
          <w:rFonts w:eastAsia="Calibri" w:cs="Times New Roman"/>
          <w:kern w:val="2"/>
          <w:shd w:fill="auto" w:val="clear"/>
          <w:lang w:val="en-US" w:eastAsia="en-US"/>
        </w:rPr>
        <w:t>i</w:t>
      </w:r>
      <w:r>
        <w:rPr>
          <w:rFonts w:eastAsia="Calibri" w:cs="Times New Roman"/>
          <w:kern w:val="2"/>
          <w:shd w:fill="auto" w:val="clear"/>
          <w:lang w:val="lt-LT" w:eastAsia="en-US"/>
        </w:rPr>
        <w:t>, o Užsakovui pareikalavus pateikti papildomus tai įrodančius dokumentus: atliekų išvežimo deklaracijas, lydraščius,</w:t>
      </w:r>
      <w:r>
        <w:rPr>
          <w:rFonts w:eastAsia="Calibri" w:cs="Times New Roman"/>
          <w:kern w:val="2"/>
          <w:shd w:fill="auto" w:val="clear"/>
          <w:lang w:val="en-US" w:eastAsia="en-US"/>
        </w:rPr>
        <w:t xml:space="preserve"> atliekų tvarkymo žurnalą, atliekų išvežimo sutartis </w:t>
      </w:r>
      <w:r>
        <w:rPr>
          <w:rFonts w:eastAsia="Calibri" w:cs="Times New Roman"/>
          <w:kern w:val="2"/>
          <w:shd w:fill="auto" w:val="clear"/>
          <w:lang w:val="lt-LT" w:eastAsia="en-US"/>
        </w:rPr>
        <w:t>ar kitus dokumentus, patvirtinančius atliekų išvežimo faktą.</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3.7. Rangovas statybos darbų metu turi imtis priemonių sumažinti triukšmą, išmetant dulkes ir teršalus, atliekant statybos darbus.</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 xml:space="preserve">3.8. Atliekami darbai derinami vietoje su už sutarties vykdymą atsakingais darbuotojais. </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3.9. Rangovas turi atkreipti atsakingų darbuotojų, projekto vykdymo priežiūros vadovo ir statinio statybos techninės priežiūros vadovo dėmesį į visus techninio projekto sprendinių neatitikimus prieš spręsdamas apie konkrečią situaciją bei priimant sprendimą</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 xml:space="preserve">3.10. Rangovas visus jam neaiškius ar projekte nedetalizuotus mazgus, medžiagas bei jų savybes turi suderinti su statinio statybos techniniu prižiūrėtoju ir projekto vykdymo priežiūros vadovu. </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3.11.</w:t>
      </w:r>
      <w:r>
        <w:rPr>
          <w:rFonts w:eastAsia="Times New Roman" w:cs="Calibri"/>
          <w:shd w:fill="auto" w:val="clear"/>
          <w:lang w:val="lt-LT"/>
        </w:rPr>
        <w:t xml:space="preserve"> Rangovas laimėjęs viešųjų pirkimų konkursą su Užsakovu </w:t>
      </w:r>
      <w:r>
        <w:rPr>
          <w:rFonts w:eastAsia="Times New Roman" w:cs="Calibri"/>
          <w:color w:val="000000"/>
          <w:shd w:fill="auto" w:val="clear"/>
          <w:lang w:val="lt-LT"/>
        </w:rPr>
        <w:t>ne vėliau kaip per 10 d. d. nuo sutarties įsigaliojimo dienos</w:t>
      </w:r>
      <w:r>
        <w:rPr>
          <w:rFonts w:eastAsia="Times New Roman" w:cs="Calibri"/>
          <w:color w:val="C9211E"/>
          <w:shd w:fill="auto" w:val="clear"/>
          <w:lang w:val="lt-LT"/>
        </w:rPr>
        <w:t xml:space="preserve"> </w:t>
      </w:r>
      <w:r>
        <w:rPr>
          <w:rFonts w:eastAsia="Times New Roman" w:cs="Calibri"/>
          <w:shd w:fill="auto" w:val="clear"/>
          <w:lang w:val="lt-LT"/>
        </w:rPr>
        <w:t>turi suderinti ir patvirtinti sąnaudų kiekių žiniaraštį (-ius) bei vadovautis juo (-ais) teikiant atliktų darbų aktus.</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3.12. Garantinis terminas pradedamas skaičiuoti nuo statybos užbaigimo akto datos.</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3.13. Garantinio laikotarpio metu atsiradus defektams, garantinis laikotarpis yra sustabdomas laikotarpiui nuo Užsakovo pirmojo pranešimo apie defektus dienos iki visiško defektų pašalinimo dienos.</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3.14. Garantiniu laikotarpiu išaiškėjusius trūkumus (defektus) rangovas šalina savo lėšomis.</w:t>
      </w:r>
    </w:p>
    <w:p>
      <w:pPr>
        <w:pStyle w:val="Standard"/>
        <w:tabs>
          <w:tab w:val="clear" w:pos="720"/>
          <w:tab w:val="left" w:pos="852" w:leader="none"/>
        </w:tabs>
        <w:suppressAutoHyphens w:val="false"/>
        <w:spacing w:lineRule="auto" w:line="240" w:before="0" w:after="0"/>
        <w:ind w:hanging="426" w:left="426"/>
        <w:jc w:val="both"/>
        <w:rPr>
          <w:lang w:val="lt-LT"/>
        </w:rPr>
      </w:pPr>
      <w:r>
        <w:rPr>
          <w:rFonts w:eastAsia="Times New Roman" w:cs="Calibri"/>
          <w:lang w:val="lt-LT"/>
        </w:rPr>
        <w:t xml:space="preserve">3.15. </w:t>
      </w:r>
      <w:r>
        <w:rPr>
          <w:lang w:val="lt-LT"/>
        </w:rPr>
        <w:t>Jeigu apibūdinant pirkimo objektą techninėje specifikacijoje ar kituose pirkimo dokumentuose (Techniniame projekte ar kt.)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pPr>
        <w:pStyle w:val="Standard"/>
        <w:tabs>
          <w:tab w:val="clear" w:pos="720"/>
          <w:tab w:val="left" w:pos="852" w:leader="none"/>
        </w:tabs>
        <w:suppressAutoHyphens w:val="false"/>
        <w:spacing w:lineRule="auto" w:line="240" w:before="0" w:after="0"/>
        <w:ind w:hanging="426" w:left="426"/>
        <w:jc w:val="both"/>
        <w:rPr>
          <w:rFonts w:eastAsia="Times New Roman" w:cs="Calibri"/>
          <w:lang w:val="lt-LT"/>
        </w:rPr>
      </w:pPr>
      <w:r>
        <w:rPr>
          <w:rFonts w:eastAsia="Times New Roman" w:cs="Calibri"/>
          <w:lang w:val="lt-LT"/>
        </w:rPr>
      </w:r>
    </w:p>
    <w:p>
      <w:pPr>
        <w:pStyle w:val="Standard"/>
        <w:suppressAutoHyphens w:val="false"/>
        <w:spacing w:lineRule="auto" w:line="240" w:before="0" w:after="0"/>
        <w:jc w:val="both"/>
        <w:rPr>
          <w:rFonts w:eastAsia="Times New Roman" w:cs="Calibri"/>
          <w:lang w:val="lt-LT"/>
        </w:rPr>
      </w:pPr>
      <w:r>
        <w:rPr>
          <w:rFonts w:eastAsia="Times New Roman" w:cs="Calibri"/>
          <w:lang w:val="lt-LT"/>
        </w:rPr>
      </w:r>
    </w:p>
    <w:p>
      <w:pPr>
        <w:pStyle w:val="Standard"/>
        <w:suppressAutoHyphens w:val="false"/>
        <w:spacing w:lineRule="auto" w:line="240" w:before="0" w:after="0"/>
        <w:ind w:hanging="426" w:left="426"/>
        <w:jc w:val="both"/>
        <w:rPr>
          <w:lang w:val="lt-LT"/>
        </w:rPr>
      </w:pPr>
      <w:r>
        <w:rPr>
          <w:rFonts w:eastAsia="Times New Roman" w:cs="Calibri"/>
          <w:b/>
          <w:bCs/>
          <w:lang w:val="lt-LT"/>
        </w:rPr>
        <w:t>4. DARBŲ APIMTIS:</w:t>
      </w:r>
    </w:p>
    <w:p>
      <w:pPr>
        <w:pStyle w:val="Standard"/>
        <w:suppressAutoHyphens w:val="false"/>
        <w:spacing w:lineRule="auto" w:line="240" w:before="0" w:after="0"/>
        <w:ind w:hanging="426" w:left="426"/>
        <w:jc w:val="both"/>
        <w:rPr/>
      </w:pPr>
      <w:r>
        <w:rPr>
          <w:rFonts w:eastAsia="Times New Roman" w:cs="Calibri"/>
        </w:rPr>
        <w:t xml:space="preserve">4.1. </w:t>
      </w:r>
      <w:r>
        <w:rPr>
          <w:rFonts w:eastAsia="Times New Roman" w:cs="Calibri"/>
          <w:shd w:fill="auto" w:val="clear"/>
        </w:rPr>
        <w:t xml:space="preserve"> Projektas yra vienas, visi jame numatyti darbai yra tarpusavyje susiję ir negali būti įgyvendinami atskirai. Tačiau, atsižvelgiant į tai, kad projekto įgyvendinimui yra numatyti trys skirtingi finansavimo šaltiniai, projekte numatyti darbai yra suskirstyti į III etapus (pagal finansavimo šaltinius) ir atliktų darbų aktai turės būti formuojami kiekvienam etapui atskirai:</w:t>
      </w:r>
    </w:p>
    <w:p>
      <w:pPr>
        <w:pStyle w:val="Standard"/>
        <w:suppressAutoHyphens w:val="false"/>
        <w:spacing w:lineRule="auto" w:line="240" w:before="0" w:after="0"/>
        <w:ind w:left="454"/>
        <w:jc w:val="both"/>
        <w:rPr>
          <w:lang w:val="lt-LT"/>
        </w:rPr>
      </w:pPr>
      <w:r>
        <w:rPr>
          <w:rFonts w:eastAsia="Times New Roman" w:cs="Calibri"/>
          <w:lang w:val="lt-LT"/>
        </w:rPr>
        <w:t>I etapas – trečio aukšto statyba;</w:t>
      </w:r>
    </w:p>
    <w:p>
      <w:pPr>
        <w:pStyle w:val="Standard"/>
        <w:suppressAutoHyphens w:val="false"/>
        <w:spacing w:lineRule="auto" w:line="240" w:before="0" w:after="0"/>
        <w:ind w:left="454"/>
        <w:jc w:val="both"/>
        <w:rPr>
          <w:lang w:val="lt-LT"/>
        </w:rPr>
      </w:pPr>
      <w:r>
        <w:rPr>
          <w:rFonts w:eastAsia="Times New Roman" w:cs="Calibri"/>
          <w:lang w:val="lt-LT"/>
        </w:rPr>
        <w:t>II etapas – pirmo, antro aukštų ir rūsio modernizavimas;</w:t>
      </w:r>
    </w:p>
    <w:p>
      <w:pPr>
        <w:pStyle w:val="Standard"/>
        <w:suppressAutoHyphens w:val="false"/>
        <w:spacing w:lineRule="auto" w:line="240" w:before="0" w:after="0"/>
        <w:ind w:left="454"/>
        <w:jc w:val="both"/>
        <w:rPr>
          <w:lang w:val="lt-LT"/>
        </w:rPr>
      </w:pPr>
      <w:r>
        <w:rPr>
          <w:rFonts w:eastAsia="Times New Roman" w:cs="Calibri"/>
          <w:lang w:val="lt-LT"/>
        </w:rPr>
        <w:t>III etapas – sklypo sutvarkymas.</w:t>
      </w:r>
    </w:p>
    <w:p>
      <w:pPr>
        <w:pStyle w:val="Standard"/>
        <w:suppressAutoHyphens w:val="false"/>
        <w:spacing w:lineRule="auto" w:line="240" w:before="0" w:after="0"/>
        <w:ind w:hanging="426" w:left="426"/>
        <w:jc w:val="both"/>
        <w:rPr>
          <w:lang w:val="lt-LT"/>
        </w:rPr>
      </w:pPr>
      <w:r>
        <w:rPr>
          <w:rFonts w:eastAsia="Times New Roman" w:cs="Calibri"/>
          <w:lang w:val="lt-LT"/>
        </w:rPr>
        <w:t>4.2. Darbo projektas rengiamas pagal techninį projektą „Gydymo paskirties pastato, Revuonos g. 4, Prienai, rekonstravimo projektas“. Visi techninio projekto dalyse numatomi darbai yra nurodyti aiškinamajame rašte, techninėse specifikacijose,</w:t>
      </w:r>
      <w:r>
        <w:rPr>
          <w:rFonts w:eastAsia="Times New Roman" w:cs="Calibri"/>
          <w:b/>
          <w:bCs/>
          <w:lang w:val="lt-LT"/>
        </w:rPr>
        <w:t xml:space="preserve"> </w:t>
      </w:r>
      <w:r>
        <w:rPr>
          <w:rFonts w:eastAsia="Times New Roman" w:cs="Calibri"/>
          <w:lang w:val="lt-LT"/>
        </w:rPr>
        <w:t>brėžiniuose ir darbų kiekių žiniaraščiuose, nepriklausomai nuo to ar jie yra nu</w:t>
      </w:r>
      <w:r>
        <w:rPr>
          <w:rFonts w:eastAsia="Times New Roman" w:cs="Calibri"/>
          <w:color w:val="000000"/>
          <w:lang w:val="lt-LT"/>
        </w:rPr>
        <w:t>rodyti visose dalyse ar bent vienoje vietoje.</w:t>
      </w:r>
    </w:p>
    <w:p>
      <w:pPr>
        <w:pStyle w:val="Standard"/>
        <w:suppressAutoHyphens w:val="false"/>
        <w:spacing w:lineRule="auto" w:line="240" w:before="0" w:after="0"/>
        <w:ind w:hanging="426" w:left="426"/>
        <w:jc w:val="both"/>
        <w:rPr>
          <w:lang w:val="lt-LT"/>
        </w:rPr>
      </w:pPr>
      <w:r>
        <w:rPr>
          <w:rFonts w:eastAsia="Times New Roman" w:cs="Calibri"/>
          <w:color w:val="000000"/>
          <w:lang w:val="lt-LT"/>
        </w:rPr>
        <w:t>4.3. Statybos darbai atliekami pagal darbo projektą;</w:t>
      </w:r>
    </w:p>
    <w:p>
      <w:pPr>
        <w:pStyle w:val="Standard"/>
        <w:suppressAutoHyphens w:val="false"/>
        <w:spacing w:lineRule="auto" w:line="240" w:before="0" w:after="0"/>
        <w:ind w:hanging="426" w:left="426"/>
        <w:jc w:val="both"/>
        <w:rPr>
          <w:lang w:val="lt-LT"/>
        </w:rPr>
      </w:pPr>
      <w:r>
        <w:rPr>
          <w:rFonts w:eastAsia="Times New Roman" w:cs="Calibri"/>
          <w:color w:val="000000"/>
          <w:lang w:val="lt-LT"/>
        </w:rPr>
        <w:t xml:space="preserve">4.4. </w:t>
      </w:r>
      <w:r>
        <w:rPr>
          <w:rFonts w:eastAsia="Times New Roman" w:cs="Calibri"/>
          <w:lang w:val="lt-LT"/>
        </w:rPr>
        <w:t>Preliminarūs statybos darbai:</w:t>
      </w:r>
    </w:p>
    <w:p>
      <w:pPr>
        <w:pStyle w:val="Standard"/>
        <w:suppressAutoHyphens w:val="false"/>
        <w:spacing w:lineRule="auto" w:line="240" w:before="0" w:after="0"/>
        <w:ind w:hanging="426" w:left="426"/>
        <w:jc w:val="both"/>
        <w:rPr>
          <w:lang w:val="lt-LT"/>
        </w:rPr>
      </w:pPr>
      <w:r>
        <w:rPr>
          <w:rFonts w:eastAsia="Times New Roman" w:cs="Calibri"/>
          <w:lang w:val="lt-LT"/>
        </w:rPr>
        <w:t>4.4.1. Papildomo aukšto pristatymas ir kabinetų įrengimas (427,48 kv. m);</w:t>
      </w:r>
    </w:p>
    <w:p>
      <w:pPr>
        <w:pStyle w:val="Standard"/>
        <w:suppressAutoHyphens w:val="false"/>
        <w:spacing w:lineRule="auto" w:line="240" w:before="0" w:after="0"/>
        <w:ind w:hanging="426" w:left="426"/>
        <w:jc w:val="both"/>
        <w:rPr>
          <w:lang w:val="lt-LT"/>
        </w:rPr>
      </w:pPr>
      <w:r>
        <w:rPr>
          <w:rFonts w:eastAsia="Times New Roman" w:cs="Calibri"/>
          <w:lang w:val="lt-LT"/>
        </w:rPr>
        <w:t>4.4.2. Lifto įrengimas;</w:t>
      </w:r>
    </w:p>
    <w:p>
      <w:pPr>
        <w:pStyle w:val="Standard"/>
        <w:suppressAutoHyphens w:val="false"/>
        <w:spacing w:lineRule="auto" w:line="240" w:before="0" w:after="0"/>
        <w:ind w:hanging="426" w:left="426"/>
        <w:jc w:val="both"/>
        <w:rPr>
          <w:lang w:val="lt-LT"/>
        </w:rPr>
      </w:pPr>
      <w:r>
        <w:rPr>
          <w:rFonts w:eastAsia="Times New Roman" w:cs="Calibri"/>
          <w:lang w:val="lt-LT"/>
        </w:rPr>
        <w:t>4.4.3. Vidaus inžinerinių sistemų įrengimas ir atnaujinimas;</w:t>
      </w:r>
    </w:p>
    <w:p>
      <w:pPr>
        <w:pStyle w:val="Standard"/>
        <w:suppressAutoHyphens w:val="false"/>
        <w:spacing w:lineRule="auto" w:line="240" w:before="0" w:after="0"/>
        <w:ind w:hanging="426" w:left="426"/>
        <w:jc w:val="both"/>
        <w:rPr>
          <w:lang w:val="lt-LT"/>
        </w:rPr>
      </w:pPr>
      <w:r>
        <w:rPr>
          <w:rFonts w:eastAsia="Times New Roman" w:cs="Calibri"/>
          <w:lang w:val="lt-LT"/>
        </w:rPr>
        <w:t>4.4.4. Lauko inžinerinių tinklų atnaujinimas;</w:t>
      </w:r>
    </w:p>
    <w:p>
      <w:pPr>
        <w:pStyle w:val="Standard"/>
        <w:suppressAutoHyphens w:val="false"/>
        <w:spacing w:lineRule="auto" w:line="240" w:before="0" w:after="0"/>
        <w:ind w:hanging="426" w:left="426"/>
        <w:jc w:val="both"/>
        <w:rPr>
          <w:lang w:val="lt-LT"/>
        </w:rPr>
      </w:pPr>
      <w:r>
        <w:rPr>
          <w:rFonts w:eastAsia="Times New Roman" w:cs="Calibri"/>
          <w:lang w:val="lt-LT"/>
        </w:rPr>
        <w:t>4.4.5. Pastato išorės modernizacija;</w:t>
      </w:r>
    </w:p>
    <w:p>
      <w:pPr>
        <w:pStyle w:val="Standard"/>
        <w:suppressAutoHyphens w:val="false"/>
        <w:spacing w:lineRule="auto" w:line="240" w:before="0" w:after="0"/>
        <w:ind w:hanging="426" w:left="426"/>
        <w:jc w:val="both"/>
        <w:rPr>
          <w:lang w:val="lt-LT"/>
        </w:rPr>
      </w:pPr>
      <w:r>
        <w:rPr>
          <w:rFonts w:eastAsia="Times New Roman" w:cs="Calibri"/>
          <w:lang w:val="lt-LT"/>
        </w:rPr>
        <w:t>4.4.6. Sklypo sutvarkymas įrengiant automobilių stovėjimo aikštelę su elektromobilių įkrovimo vietomis (417 kv. m), tvorą ir lietaus nuotekų infiltracinę talpą.</w:t>
      </w:r>
    </w:p>
    <w:p>
      <w:pPr>
        <w:pStyle w:val="Standard"/>
        <w:suppressAutoHyphens w:val="false"/>
        <w:spacing w:lineRule="auto" w:line="240" w:before="0" w:after="0"/>
        <w:ind w:hanging="426" w:left="426"/>
        <w:jc w:val="both"/>
        <w:rPr>
          <w:highlight w:val="none"/>
          <w:shd w:fill="auto" w:val="clear"/>
        </w:rPr>
      </w:pPr>
      <w:r>
        <w:rPr>
          <w:shd w:fill="auto" w:val="clear"/>
        </w:rPr>
        <w:t>4.</w:t>
      </w:r>
      <w:r>
        <w:rPr>
          <w:shd w:fill="auto" w:val="clear"/>
          <w:lang w:val="lt-LT"/>
        </w:rPr>
        <w:t xml:space="preserve">3. Įranga, nesusijusi su statybos darbais, nėra įtraukta į konkursinius kiekių žiniaraščius ir bus įsigyjama atskiru pirkimu. </w:t>
      </w:r>
    </w:p>
    <w:p>
      <w:pPr>
        <w:pStyle w:val="Standard"/>
        <w:tabs>
          <w:tab w:val="clear" w:pos="720"/>
          <w:tab w:val="left" w:pos="3513" w:leader="none"/>
        </w:tabs>
        <w:suppressAutoHyphens w:val="false"/>
        <w:spacing w:lineRule="auto" w:line="240" w:before="0" w:after="0"/>
        <w:ind w:hanging="426" w:left="426"/>
        <w:jc w:val="both"/>
        <w:rPr>
          <w:highlight w:val="none"/>
          <w:shd w:fill="auto" w:val="clear"/>
        </w:rPr>
      </w:pPr>
      <w:r>
        <w:rPr>
          <w:shd w:fill="auto" w:val="clear"/>
          <w:lang w:val="lt-LT"/>
        </w:rPr>
        <w:t xml:space="preserve">4.3.1.Architektūrinėje (SA) dalyje techninėse speficikacijose </w:t>
      </w:r>
      <w:r>
        <w:rPr>
          <w:shd w:fill="auto" w:val="clear"/>
          <w:lang w:val="en-US"/>
        </w:rPr>
        <w:t>numatytos</w:t>
      </w:r>
      <w:r>
        <w:rPr>
          <w:shd w:fill="auto" w:val="clear"/>
          <w:lang w:val="lt-LT"/>
        </w:rPr>
        <w:t xml:space="preserve"> įrangos </w:t>
      </w:r>
      <w:r>
        <w:rPr>
          <w:shd w:fill="auto" w:val="clear"/>
          <w:lang w:val="en-US"/>
        </w:rPr>
        <w:t>(</w:t>
      </w:r>
      <w:r>
        <w:rPr>
          <w:shd w:fill="auto" w:val="clear"/>
          <w:lang w:val="lt-LT"/>
        </w:rPr>
        <w:t>TS-9.1.1. Kasetiniai roletai;TS-23.2 Sulankstoma dušo kėdė (ŽN pritaikytame san. mazge);TS-23.3. Dušo kabliai (ŽN pritaikytame san. Mazge); TS-23.4. Muilo dozatorius ; TS-23.5. Popierinių rankšliuosčių laikiklis; 23.6. Tualetinio popieriaus laikiklis; TS-23.7. Unitazo šepetys; TS-23.8. Higieninė šiukšlinė; TS-23.9. Veidrodis</w:t>
      </w:r>
      <w:r>
        <w:rPr>
          <w:shd w:fill="auto" w:val="clear"/>
          <w:lang w:val="en-US"/>
        </w:rPr>
        <w:t>)</w:t>
      </w:r>
      <w:r>
        <w:rPr>
          <w:shd w:fill="auto" w:val="clear"/>
          <w:lang w:val="lt-LT"/>
        </w:rPr>
        <w:t xml:space="preserve"> ir jos montavimo vertinti nereikia.</w:t>
      </w:r>
    </w:p>
    <w:p>
      <w:pPr>
        <w:pStyle w:val="Standard"/>
        <w:suppressAutoHyphens w:val="false"/>
        <w:spacing w:lineRule="auto" w:line="240" w:before="0" w:after="0"/>
        <w:ind w:hanging="426" w:left="426"/>
        <w:jc w:val="both"/>
        <w:rPr>
          <w:highlight w:val="none"/>
          <w:shd w:fill="auto" w:val="clear"/>
        </w:rPr>
      </w:pPr>
      <w:r>
        <w:rPr>
          <w:rFonts w:eastAsia="Times New Roman" w:cs="Calibri"/>
          <w:shd w:fill="auto" w:val="clear"/>
          <w:lang w:val="en-US"/>
        </w:rPr>
        <w:t>4.4. Apsauginės signalizacijos dalies TS-2.2.2. Cilindrinio tipo stacionari lauko IP vaizdo kamera numatyta 5 MP vaizdo stebėjimo kamera, tačiau numatoma įsigyti ne mažiau nei 8 MP.</w:t>
      </w:r>
    </w:p>
    <w:p>
      <w:pPr>
        <w:pStyle w:val="Standard"/>
        <w:suppressAutoHyphens w:val="false"/>
        <w:spacing w:lineRule="auto" w:line="240" w:before="0" w:after="0"/>
        <w:ind w:hanging="426" w:left="426"/>
        <w:jc w:val="both"/>
        <w:rPr>
          <w:highlight w:val="none"/>
          <w:shd w:fill="auto" w:val="clear"/>
          <w:lang w:val="lt-LT"/>
        </w:rPr>
      </w:pPr>
      <w:r>
        <w:rPr>
          <w:shd w:fill="auto" w:val="clear"/>
          <w:lang w:val="lt-LT"/>
        </w:rPr>
      </w:r>
    </w:p>
    <w:p>
      <w:pPr>
        <w:pStyle w:val="Standard"/>
        <w:suppressAutoHyphens w:val="false"/>
        <w:spacing w:lineRule="auto" w:line="240" w:before="0" w:after="0"/>
        <w:ind w:hanging="426" w:left="426"/>
        <w:jc w:val="both"/>
        <w:rPr>
          <w:lang w:val="lt-LT"/>
        </w:rPr>
      </w:pPr>
      <w:r>
        <w:rPr>
          <w:rFonts w:eastAsia="Times New Roman" w:cs="Calibri"/>
          <w:b/>
          <w:bCs/>
          <w:lang w:val="lt-LT"/>
        </w:rPr>
        <w:t>5. DARBŲ ATLIKIMO TERMINAI:</w:t>
      </w:r>
    </w:p>
    <w:p>
      <w:pPr>
        <w:pStyle w:val="Standard"/>
        <w:suppressAutoHyphens w:val="false"/>
        <w:spacing w:lineRule="auto" w:line="240" w:before="0" w:after="0"/>
        <w:ind w:hanging="426" w:left="426"/>
        <w:jc w:val="both"/>
        <w:rPr>
          <w:lang w:val="lt-LT"/>
        </w:rPr>
      </w:pPr>
      <w:r>
        <w:rPr>
          <w:rFonts w:eastAsia="Times New Roman" w:cs="Calibri"/>
          <w:bCs/>
          <w:lang w:val="lt-LT"/>
        </w:rPr>
        <w:t>5.1.</w:t>
      </w:r>
      <w:r>
        <w:rPr>
          <w:rFonts w:eastAsia="Times New Roman" w:cs="Calibri"/>
          <w:b/>
          <w:bCs/>
          <w:lang w:val="lt-LT"/>
        </w:rPr>
        <w:t xml:space="preserve"> </w:t>
      </w:r>
      <w:r>
        <w:rPr>
          <w:rFonts w:eastAsia="Times New Roman" w:cs="Calibri"/>
          <w:lang w:val="lt-LT"/>
        </w:rPr>
        <w:t xml:space="preserve">Statybos darbų pradžia laikoma diena, kai bus įgyvendintos visos žemiau išvardintos sąlygos, bet ne vėliau  </w:t>
      </w:r>
      <w:r>
        <w:rPr>
          <w:rFonts w:eastAsia="Times New Roman" w:cs="Calibri"/>
          <w:color w:val="000000"/>
          <w:lang w:val="lt-LT"/>
        </w:rPr>
        <w:t>nei 4 mėn. nuo sutarties įsigaliojimo dienos:</w:t>
      </w:r>
    </w:p>
    <w:p>
      <w:pPr>
        <w:pStyle w:val="Standard"/>
        <w:suppressAutoHyphens w:val="false"/>
        <w:spacing w:lineRule="auto" w:line="240" w:before="0" w:after="0"/>
        <w:ind w:hanging="426" w:left="426"/>
        <w:jc w:val="both"/>
        <w:rPr>
          <w:lang w:val="lt-LT"/>
        </w:rPr>
      </w:pPr>
      <w:r>
        <w:rPr>
          <w:rFonts w:eastAsia="Times New Roman" w:cs="Calibri"/>
          <w:color w:val="000000"/>
          <w:lang w:val="lt-LT"/>
        </w:rPr>
        <w:t>5.1.1. Pasirašyta sutartis;</w:t>
      </w:r>
    </w:p>
    <w:p>
      <w:pPr>
        <w:pStyle w:val="Standard"/>
        <w:suppressAutoHyphens w:val="false"/>
        <w:spacing w:lineRule="auto" w:line="240" w:before="0" w:after="0"/>
        <w:ind w:hanging="426" w:left="426"/>
        <w:jc w:val="both"/>
        <w:rPr>
          <w:lang w:val="lt-LT"/>
        </w:rPr>
      </w:pPr>
      <w:r>
        <w:rPr>
          <w:rFonts w:eastAsia="Times New Roman" w:cs="Calibri"/>
          <w:color w:val="000000"/>
          <w:lang w:val="lt-LT"/>
        </w:rPr>
        <w:t>5.1.2. Pateiktas rangovo civilinės atsakomybės draudimas;</w:t>
      </w:r>
    </w:p>
    <w:p>
      <w:pPr>
        <w:pStyle w:val="Standard"/>
        <w:suppressAutoHyphens w:val="false"/>
        <w:spacing w:lineRule="auto" w:line="240" w:before="0" w:after="0"/>
        <w:ind w:hanging="426" w:left="426"/>
        <w:jc w:val="both"/>
        <w:rPr>
          <w:lang w:val="lt-LT"/>
        </w:rPr>
      </w:pPr>
      <w:r>
        <w:rPr>
          <w:rFonts w:eastAsia="Times New Roman" w:cs="Calibri"/>
          <w:color w:val="000000"/>
          <w:lang w:val="lt-LT"/>
        </w:rPr>
        <w:t>5.1.3. Parengtas darbo projektas (su konstrukcinės dalies ekspertize);</w:t>
      </w:r>
    </w:p>
    <w:p>
      <w:pPr>
        <w:pStyle w:val="Standard"/>
        <w:suppressAutoHyphens w:val="false"/>
        <w:spacing w:lineRule="auto" w:line="240" w:before="0" w:after="0"/>
        <w:ind w:hanging="426" w:left="426"/>
        <w:jc w:val="both"/>
        <w:rPr>
          <w:lang w:val="lt-LT"/>
        </w:rPr>
      </w:pPr>
      <w:r>
        <w:rPr>
          <w:rFonts w:eastAsia="Times New Roman" w:cs="Calibri"/>
          <w:color w:val="000000"/>
          <w:lang w:val="lt-LT"/>
        </w:rPr>
        <w:t>5.1.4. Pateiktas pranešimas apie statybos darbų pradžią ir gautas patvirtinimą apie šių dokumentų užregistravimą;</w:t>
      </w:r>
    </w:p>
    <w:p>
      <w:pPr>
        <w:pStyle w:val="Standard"/>
        <w:suppressAutoHyphens w:val="false"/>
        <w:spacing w:lineRule="auto" w:line="240" w:before="0" w:after="0"/>
        <w:ind w:hanging="426" w:left="426"/>
        <w:jc w:val="both"/>
        <w:rPr>
          <w:lang w:val="lt-LT"/>
        </w:rPr>
      </w:pPr>
      <w:r>
        <w:rPr>
          <w:rFonts w:eastAsia="Times New Roman" w:cs="Calibri"/>
          <w:color w:val="000000"/>
          <w:lang w:val="lt-LT"/>
        </w:rPr>
        <w:t>5.1.5. Pasirašytas statybvietės priėjimo-perdavimo aktas.</w:t>
      </w:r>
    </w:p>
    <w:p>
      <w:pPr>
        <w:pStyle w:val="Standard"/>
        <w:suppressAutoHyphens w:val="false"/>
        <w:spacing w:lineRule="auto" w:line="240" w:before="0" w:after="0"/>
        <w:ind w:hanging="426" w:left="426"/>
        <w:jc w:val="both"/>
        <w:rPr>
          <w:highlight w:val="none"/>
          <w:shd w:fill="auto" w:val="clear"/>
        </w:rPr>
      </w:pPr>
      <w:r>
        <w:rPr>
          <w:rFonts w:eastAsia="Times New Roman" w:cs="Calibri"/>
          <w:color w:val="000000"/>
          <w:shd w:fill="auto" w:val="clear"/>
          <w:lang w:val="en-US"/>
        </w:rPr>
        <w:t>5.2.5. Pateikta s</w:t>
      </w:r>
      <w:r>
        <w:rPr>
          <w:rFonts w:eastAsia="Times New Roman" w:cs="Calibri"/>
          <w:color w:val="000000"/>
          <w:shd w:fill="auto" w:val="clear"/>
        </w:rPr>
        <w:t>utart</w:t>
      </w:r>
      <w:r>
        <w:rPr>
          <w:rFonts w:eastAsia="Times New Roman" w:cs="Calibri"/>
          <w:color w:val="000000"/>
          <w:shd w:fill="auto" w:val="clear"/>
          <w:lang w:val="en-US"/>
        </w:rPr>
        <w:t>ies</w:t>
      </w:r>
      <w:r>
        <w:rPr>
          <w:rFonts w:eastAsia="Times New Roman" w:cs="Calibri"/>
          <w:color w:val="000000"/>
          <w:shd w:fill="auto" w:val="clear"/>
        </w:rPr>
        <w:t xml:space="preserve"> su statybines atliekas utilizuojančia įmone, kuri turi atitinkamą sertifikatą, </w:t>
      </w:r>
      <w:r>
        <w:rPr>
          <w:rFonts w:eastAsia="Times New Roman" w:cs="Calibri"/>
          <w:color w:val="000000"/>
          <w:shd w:fill="auto" w:val="clear"/>
          <w:lang w:val="en-US"/>
        </w:rPr>
        <w:t>kopija.</w:t>
      </w:r>
    </w:p>
    <w:p>
      <w:pPr>
        <w:pStyle w:val="Standard"/>
        <w:suppressAutoHyphens w:val="false"/>
        <w:spacing w:lineRule="auto" w:line="240" w:before="0" w:after="0"/>
        <w:ind w:hanging="426" w:left="426"/>
        <w:jc w:val="both"/>
        <w:rPr>
          <w:lang w:val="lt-LT"/>
        </w:rPr>
      </w:pPr>
      <w:r>
        <w:rPr>
          <w:rFonts w:eastAsia="Times New Roman" w:cs="Calibri"/>
          <w:color w:val="000000"/>
          <w:lang w:val="lt-LT"/>
        </w:rPr>
        <w:t>5.2. Statybos darbai turi būti baigti ne vėliau nei 30 kalendorinių dienų iki Darbų atlikimo termino pabaigos.</w:t>
      </w:r>
    </w:p>
    <w:p>
      <w:pPr>
        <w:pStyle w:val="Standard"/>
        <w:suppressAutoHyphens w:val="false"/>
        <w:spacing w:lineRule="auto" w:line="240" w:before="0" w:after="0"/>
        <w:ind w:hanging="426" w:left="426"/>
        <w:jc w:val="both"/>
        <w:rPr>
          <w:lang w:val="lt-LT"/>
        </w:rPr>
      </w:pPr>
      <w:r>
        <w:rPr>
          <w:rFonts w:eastAsia="Times New Roman" w:cs="Calibri"/>
          <w:lang w:val="lt-LT"/>
        </w:rPr>
        <w:t>5.3. Galutinis visų Darbų atlikimo terminas – 15 mėn. nuo sutarties įsigaliojimo dienos</w:t>
      </w:r>
      <w:r>
        <w:rPr>
          <w:rFonts w:eastAsia="Times New Roman" w:cs="Calibri"/>
          <w:color w:val="C9211E"/>
          <w:lang w:val="lt-LT"/>
        </w:rPr>
        <w:t>.</w:t>
      </w:r>
    </w:p>
    <w:p>
      <w:pPr>
        <w:pStyle w:val="Standard"/>
        <w:suppressAutoHyphens w:val="false"/>
        <w:spacing w:lineRule="auto" w:line="240" w:before="0" w:after="0"/>
        <w:ind w:hanging="426" w:left="426"/>
        <w:jc w:val="both"/>
        <w:rPr>
          <w:lang w:val="lt-LT"/>
        </w:rPr>
      </w:pPr>
      <w:r>
        <w:rPr>
          <w:rFonts w:eastAsia="Times New Roman" w:cs="Calibri"/>
          <w:lang w:val="lt-LT"/>
        </w:rPr>
        <w:t>5.4. Darbų atlikimo terminas gali būti pratęstas ne ilgiau kaip 2 mėn. laikotarpiui. Darbų atlikimo terminas gali būti pratęstas tik dėl aplinkybių, kurios nepriklauso nuo rangovo (pagal sutarties 4.4. p. nurodytas sąlygas).</w:t>
      </w:r>
    </w:p>
    <w:p>
      <w:pPr>
        <w:pStyle w:val="Standard"/>
        <w:suppressAutoHyphens w:val="false"/>
        <w:spacing w:lineRule="auto" w:line="240" w:before="0" w:after="0"/>
        <w:ind w:hanging="426" w:left="426"/>
        <w:jc w:val="both"/>
        <w:rPr>
          <w:lang w:val="lt-LT"/>
        </w:rPr>
      </w:pPr>
      <w:r>
        <w:rPr>
          <w:rFonts w:eastAsia="Times New Roman" w:cs="Calibri"/>
          <w:lang w:val="lt-LT"/>
        </w:rPr>
        <w:t>5.5. Darbų pabaiga laikoma, kai rangovas pateikia galutinius darbų perdavimo aktus, visą su projekto įgyvendinimu susijusią dokumentaciją ir statybos užbaigimą patvirtinančius dokumentus.</w:t>
      </w:r>
    </w:p>
    <w:p>
      <w:pPr>
        <w:pStyle w:val="StandardWW"/>
        <w:jc w:val="center"/>
        <w:rPr>
          <w:lang w:val="lt-LT"/>
        </w:rPr>
      </w:pPr>
      <w:r>
        <w:rPr>
          <w:lang w:val="lt-LT"/>
        </w:rPr>
        <w:t>_____________________</w:t>
      </w:r>
    </w:p>
    <w:p>
      <w:pPr>
        <w:pStyle w:val="StandardWW"/>
        <w:jc w:val="center"/>
        <w:rPr>
          <w:rFonts w:ascii="Calibri" w:hAnsi="Calibri"/>
          <w:sz w:val="21"/>
          <w:szCs w:val="21"/>
          <w:lang w:val="lt-LT" w:bidi="ar-SA"/>
        </w:rPr>
      </w:pPr>
      <w:r>
        <w:rPr>
          <w:rFonts w:ascii="Calibri" w:hAnsi="Calibri"/>
          <w:sz w:val="21"/>
          <w:szCs w:val="21"/>
          <w:lang w:val="lt-LT" w:bidi="ar-SA"/>
        </w:rPr>
      </w:r>
      <w:r>
        <w:br w:type="page"/>
      </w:r>
    </w:p>
    <w:p>
      <w:pPr>
        <w:pStyle w:val="Heading2"/>
        <w:spacing w:before="0" w:after="0"/>
        <w:ind w:left="5245"/>
        <w:rPr>
          <w:lang w:val="lt-LT"/>
        </w:rPr>
      </w:pPr>
      <w:bookmarkStart w:id="52" w:name="_Ref38285444"/>
      <w:bookmarkStart w:id="53" w:name="_Toc170854176"/>
      <w:bookmarkStart w:id="54" w:name="_Ref38291496"/>
      <w:r>
        <w:rPr>
          <w:rFonts w:eastAsia="Calibri" w:cs="Calibri" w:ascii="Calibri" w:hAnsi="Calibri"/>
          <w:color w:val="0070C0"/>
          <w:sz w:val="21"/>
          <w:szCs w:val="21"/>
          <w:lang w:val="lt-LT"/>
        </w:rPr>
        <w:t>Pirkimo sąlygų 3 priedas „Tiekėjų pašalinimo pagrindai“</w:t>
      </w:r>
      <w:bookmarkEnd w:id="52"/>
      <w:bookmarkEnd w:id="53"/>
      <w:bookmarkEnd w:id="54"/>
    </w:p>
    <w:p>
      <w:pPr>
        <w:pStyle w:val="Standard"/>
        <w:jc w:val="center"/>
        <w:rPr>
          <w:rFonts w:cs="Calibri"/>
          <w:b/>
          <w:bCs/>
          <w:smallCaps/>
          <w:sz w:val="22"/>
          <w:szCs w:val="22"/>
          <w:lang w:val="lt-LT"/>
        </w:rPr>
      </w:pPr>
      <w:r>
        <w:rPr>
          <w:rFonts w:cs="Calibri"/>
          <w:b/>
          <w:bCs/>
          <w:smallCaps/>
          <w:sz w:val="22"/>
          <w:szCs w:val="22"/>
          <w:lang w:val="lt-LT"/>
        </w:rPr>
      </w:r>
    </w:p>
    <w:p>
      <w:pPr>
        <w:pStyle w:val="Subtitle"/>
        <w:jc w:val="center"/>
        <w:rPr>
          <w:lang w:val="lt-LT"/>
        </w:rPr>
      </w:pPr>
      <w:bookmarkStart w:id="55" w:name="_Hlk181188381"/>
      <w:bookmarkEnd w:id="55"/>
      <w:r>
        <w:rPr>
          <w:lang w:val="lt-LT"/>
        </w:rPr>
        <w:t>TIEKĖJŲ PAŠALINIMO PAGRINDAI</w:t>
      </w:r>
    </w:p>
    <w:p>
      <w:pPr>
        <w:pStyle w:val="NormalWeb"/>
        <w:spacing w:lineRule="auto" w:line="240" w:before="0" w:after="0"/>
        <w:ind w:firstLine="567"/>
        <w:jc w:val="both"/>
        <w:rPr>
          <w:lang w:val="lt-LT"/>
        </w:rPr>
      </w:pPr>
      <w:r>
        <w:rPr>
          <w:rFonts w:cs="Calibri"/>
          <w:lang w:val="lt-LT"/>
        </w:rPr>
        <w:t>1. Su pasiūlymu teikiamas tik EBVPD. Perkančioji organizacija su pasiūlymu 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pPr>
        <w:pStyle w:val="NormalWeb"/>
        <w:spacing w:lineRule="auto" w:line="240" w:before="0" w:after="0"/>
        <w:ind w:firstLine="567"/>
        <w:jc w:val="both"/>
        <w:rPr>
          <w:lang w:val="lt-LT"/>
        </w:rPr>
      </w:pPr>
      <w:r>
        <w:rPr>
          <w:rFonts w:cs="Calibri"/>
          <w:lang w:val="lt-LT"/>
        </w:rPr>
        <w:t>2.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pPr>
        <w:pStyle w:val="NormalWeb"/>
        <w:spacing w:lineRule="auto" w:line="240" w:before="0" w:after="0"/>
        <w:ind w:firstLine="567"/>
        <w:jc w:val="both"/>
        <w:rPr>
          <w:lang w:val="lt-LT"/>
        </w:rPr>
      </w:pPr>
      <w:r>
        <w:rPr>
          <w:rFonts w:cs="Calibri"/>
          <w:lang w:val="lt-LT"/>
        </w:rPr>
        <w:t>3. Pašalinimo pagrindai taikomi tiekėjui (kai pasiūlymą teikia ūkio subjektų grupė – visiems tos grupės nariams) ir ūkio subjektams, kurių pajėgumais tiekėjas remiasi (išskyrus kvazisubtiekėjus). Pašalinimo pagrindai netaikomi subtiekėjams, subteikėjams ir subrangovams, kurių pajėgumais tiekėjas nesiremia.</w:t>
      </w:r>
    </w:p>
    <w:p>
      <w:pPr>
        <w:pStyle w:val="NormalWeb"/>
        <w:spacing w:lineRule="auto" w:line="240" w:before="0" w:after="0"/>
        <w:ind w:firstLine="624"/>
        <w:jc w:val="both"/>
        <w:rPr>
          <w:lang w:val="lt-LT"/>
        </w:rPr>
      </w:pPr>
      <w:r>
        <w:rPr>
          <w:rFonts w:cs="Calibri"/>
          <w:color w:val="000000"/>
          <w:lang w:val="lt-LT"/>
        </w:rPr>
        <w:t>4.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pPr>
        <w:pStyle w:val="NormalWeb"/>
        <w:spacing w:lineRule="auto" w:line="240" w:before="0" w:after="0"/>
        <w:ind w:firstLine="624"/>
        <w:jc w:val="both"/>
        <w:rPr>
          <w:lang w:val="lt-LT"/>
        </w:rPr>
      </w:pPr>
      <w:r>
        <w:rPr>
          <w:rFonts w:cs="Calibri"/>
          <w:color w:val="000000"/>
          <w:lang w:val="lt-LT"/>
        </w:rPr>
        <w:t>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rmalWeb"/>
        <w:spacing w:lineRule="auto" w:line="240" w:before="0" w:after="0"/>
        <w:ind w:firstLine="624"/>
        <w:jc w:val="both"/>
        <w:rPr>
          <w:lang w:val="lt-LT"/>
        </w:rPr>
      </w:pPr>
      <w:r>
        <w:rPr>
          <w:rFonts w:cs="Calibri"/>
          <w:color w:val="000000"/>
          <w:lang w:val="lt-LT"/>
        </w:rPr>
        <w:t>6. 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pPr>
        <w:pStyle w:val="Textbody"/>
        <w:spacing w:lineRule="auto" w:line="240" w:before="0" w:after="0"/>
        <w:rPr>
          <w:lang w:val="lt-LT"/>
        </w:rPr>
      </w:pPr>
      <w:r>
        <w:rPr>
          <w:rFonts w:cs="Calibri"/>
          <w:color w:val="000000"/>
          <w:lang w:val="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pPr>
        <w:pStyle w:val="Textbody"/>
        <w:spacing w:lineRule="auto" w:line="240" w:before="0" w:after="0"/>
        <w:rPr>
          <w:lang w:val="lt-LT"/>
        </w:rPr>
      </w:pPr>
      <w:r>
        <w:rPr>
          <w:rFonts w:cs="Calibri"/>
          <w:color w:val="000000"/>
          <w:lang w:val="lt-LT"/>
        </w:rPr>
        <w:t>2</w:t>
      </w:r>
      <w:r>
        <w:rPr>
          <w:lang w:val="lt-LT"/>
        </w:rPr>
        <w:t>) šiuos dokumentus jau turi iš ankstesnių pirkimo procedūrų.</w:t>
      </w:r>
    </w:p>
    <w:p>
      <w:pPr>
        <w:pStyle w:val="Textbody"/>
        <w:spacing w:lineRule="auto" w:line="240" w:before="0" w:after="0"/>
        <w:rPr>
          <w:lang w:val="lt-LT"/>
        </w:rPr>
      </w:pPr>
      <w:r>
        <w:rPr>
          <w:rFonts w:cs="Calibri"/>
          <w:color w:val="000000"/>
          <w:lang w:val="lt-LT"/>
        </w:rPr>
        <w:t>7. Jeigu tiekėjas negali pateikti  VPĮ 51 str. 2 dalyje nurodytų dokumentų, nes valstybėje narėje ar atitinkamoje šalyje tokie dokumentai neišduodami arba toje šalyje išduodami dokumentai neapima visų VPĮ 46 straipsnio 1 ir 3 dalyse ir 6 dalies 2 punkte keliamų klausimų, jie gali būti pakeisti:</w:t>
      </w:r>
    </w:p>
    <w:p>
      <w:pPr>
        <w:pStyle w:val="Textbody"/>
        <w:spacing w:lineRule="auto" w:line="240" w:before="0" w:after="0"/>
        <w:rPr>
          <w:lang w:val="lt-LT"/>
        </w:rPr>
      </w:pPr>
      <w:r>
        <w:rPr>
          <w:rFonts w:cs="Calibri"/>
          <w:color w:val="000000"/>
          <w:lang w:val="lt-LT"/>
        </w:rPr>
        <w:t>1) priesaikos deklaracija;</w:t>
      </w:r>
    </w:p>
    <w:p>
      <w:pPr>
        <w:pStyle w:val="Textbody"/>
        <w:spacing w:lineRule="auto" w:line="240" w:before="0" w:after="0"/>
        <w:rPr>
          <w:lang w:val="lt-LT"/>
        </w:rPr>
      </w:pPr>
      <w:r>
        <w:rPr>
          <w:rFonts w:cs="Calibri"/>
          <w:color w:val="000000"/>
          <w:lang w:val="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Textbody"/>
        <w:spacing w:lineRule="auto" w:line="240" w:before="0" w:after="0"/>
        <w:rPr>
          <w:lang w:val="lt-LT"/>
        </w:rPr>
      </w:pPr>
      <w:r>
        <w:rPr>
          <w:rFonts w:cs="Calibri"/>
          <w:color w:val="000000"/>
          <w:lang w:val="lt-LT"/>
        </w:rPr>
        <w:t>8. Perkančioji organizacija visų pirma reikalauja tokios rūšies pažymų ir tokių dokumentinių įrodymų formų, apie kuriuos pateikta informacija Europos Komisijos informacinėje dokumentų saugykloje „e-Certis“.</w:t>
      </w:r>
    </w:p>
    <w:p>
      <w:pPr>
        <w:pStyle w:val="Textbody"/>
        <w:spacing w:lineRule="auto" w:line="240" w:before="0" w:after="0"/>
        <w:rPr>
          <w:rFonts w:cs="Calibri"/>
          <w:color w:val="000000"/>
          <w:lang w:val="lt-LT"/>
        </w:rPr>
      </w:pPr>
      <w:r>
        <w:rPr>
          <w:rFonts w:cs="Calibri"/>
          <w:color w:val="000000"/>
          <w:lang w:val="lt-LT"/>
        </w:rPr>
      </w:r>
    </w:p>
    <w:tbl>
      <w:tblPr>
        <w:tblW w:w="9996" w:type="dxa"/>
        <w:jc w:val="left"/>
        <w:tblInd w:w="137" w:type="dxa"/>
        <w:tblLayout w:type="fixed"/>
        <w:tblCellMar>
          <w:top w:w="0" w:type="dxa"/>
          <w:left w:w="108" w:type="dxa"/>
          <w:bottom w:w="0" w:type="dxa"/>
          <w:right w:w="108" w:type="dxa"/>
        </w:tblCellMar>
        <w:tblLook w:firstRow="1" w:noVBand="1" w:lastRow="0" w:firstColumn="1" w:lastColumn="0" w:noHBand="0" w:val="04a0"/>
      </w:tblPr>
      <w:tblGrid>
        <w:gridCol w:w="522"/>
        <w:gridCol w:w="4640"/>
        <w:gridCol w:w="2422"/>
        <w:gridCol w:w="2411"/>
      </w:tblGrid>
      <w:tr>
        <w:trPr/>
        <w:tc>
          <w:tcPr>
            <w:tcW w:w="522"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lang w:val="lt-LT"/>
              </w:rPr>
            </w:pPr>
            <w:bookmarkStart w:id="56" w:name="_Hlk181188381_Copy_1"/>
            <w:bookmarkEnd w:id="56"/>
            <w:r>
              <w:rPr>
                <w:rFonts w:cs="Calibri"/>
                <w:b/>
                <w:bCs/>
                <w:lang w:val="lt-LT"/>
              </w:rPr>
              <w:t>Eil. Nr.</w:t>
            </w:r>
          </w:p>
        </w:tc>
        <w:tc>
          <w:tcPr>
            <w:tcW w:w="464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lang w:val="lt-LT"/>
              </w:rPr>
            </w:pPr>
            <w:r>
              <w:rPr>
                <w:rFonts w:cs="Calibri"/>
                <w:b/>
                <w:lang w:val="lt-LT"/>
              </w:rPr>
              <w:t>Tiekėjo pašalinimo pagrindai</w:t>
            </w:r>
          </w:p>
        </w:tc>
        <w:tc>
          <w:tcPr>
            <w:tcW w:w="242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lang w:val="lt-LT"/>
              </w:rPr>
            </w:pPr>
            <w:r>
              <w:rPr>
                <w:rFonts w:eastAsia="Yu Mincho" w:cs="Calibri"/>
                <w:b/>
                <w:bCs/>
                <w:lang w:val="lt-LT"/>
              </w:rPr>
              <w:t>VPĮ straipsnis,  dalis, punktas bei EBVPD formos dalis pildymui</w:t>
            </w:r>
          </w:p>
        </w:tc>
        <w:tc>
          <w:tcPr>
            <w:tcW w:w="2411"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lang w:val="lt-LT"/>
              </w:rPr>
            </w:pPr>
            <w:r>
              <w:rPr>
                <w:rFonts w:cs="Calibri"/>
                <w:b/>
                <w:lang w:val="lt-LT"/>
              </w:rPr>
              <w:t>Pašalinimo pagrindų nebuvimą įrodantys dokumentai</w:t>
            </w:r>
          </w:p>
        </w:tc>
      </w:tr>
      <w:tr>
        <w:trPr/>
        <w:tc>
          <w:tcPr>
            <w:tcW w:w="522" w:type="dxa"/>
            <w:tcBorders>
              <w:top w:val="single" w:sz="4" w:space="0" w:color="000000"/>
              <w:left w:val="single" w:sz="4" w:space="0" w:color="000000"/>
              <w:bottom w:val="single" w:sz="4" w:space="0" w:color="000000"/>
              <w:right w:val="single" w:sz="4" w:space="0" w:color="000000"/>
            </w:tcBorders>
          </w:tcPr>
          <w:p>
            <w:pPr>
              <w:pStyle w:val="NoSpacing"/>
              <w:numPr>
                <w:ilvl w:val="0"/>
                <w:numId w:val="36"/>
              </w:numPr>
              <w:ind w:hanging="0" w:left="0"/>
              <w:rPr>
                <w:rFonts w:cs="Calibri"/>
                <w:b/>
                <w:bCs/>
                <w:lang w:val="lt-LT"/>
              </w:rPr>
            </w:pPr>
            <w:r>
              <w:rPr>
                <w:rFonts w:cs="Calibri"/>
                <w:b/>
                <w:bCs/>
                <w:lang w:val="lt-LT"/>
              </w:rPr>
            </w:r>
          </w:p>
        </w:tc>
        <w:tc>
          <w:tcPr>
            <w:tcW w:w="4640"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eastAsia="en-US"/>
              </w:rPr>
              <w:t>Tiekėjas arba jo atsakingas asmuo, nurodytas VPĮ 46 straipsnio 2 dalies 2 punkte, nuteistas už šią nusikalstamą veiką:</w:t>
            </w:r>
          </w:p>
          <w:p>
            <w:pPr>
              <w:pStyle w:val="NoSpacing"/>
              <w:jc w:val="both"/>
              <w:rPr>
                <w:lang w:val="lt-LT"/>
              </w:rPr>
            </w:pPr>
            <w:r>
              <w:rPr>
                <w:rFonts w:cs="Calibri"/>
                <w:bCs/>
                <w:lang w:val="lt-LT" w:eastAsia="en-US"/>
              </w:rPr>
              <w:t>1) dalyvavimą nusikalstamame susivienijime, jo organizavimą ar vadovavimą jam;</w:t>
            </w:r>
          </w:p>
          <w:p>
            <w:pPr>
              <w:pStyle w:val="NoSpacing"/>
              <w:jc w:val="both"/>
              <w:rPr>
                <w:lang w:val="lt-LT"/>
              </w:rPr>
            </w:pPr>
            <w:r>
              <w:rPr>
                <w:rFonts w:cs="Calibri"/>
                <w:bCs/>
                <w:lang w:val="lt-LT" w:eastAsia="en-US"/>
              </w:rPr>
              <w:t>2) kyšininkavimą, prekybą poveikiu, papirkimą;</w:t>
            </w:r>
          </w:p>
          <w:p>
            <w:pPr>
              <w:pStyle w:val="NoSpacing"/>
              <w:jc w:val="both"/>
              <w:rPr>
                <w:lang w:val="lt-LT"/>
              </w:rPr>
            </w:pPr>
            <w:r>
              <w:rPr>
                <w:rFonts w:cs="Calibri"/>
                <w:bCs/>
                <w:lang w:val="lt-LT"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lang w:val="lt-LT"/>
              </w:rPr>
            </w:pPr>
            <w:r>
              <w:rPr>
                <w:rFonts w:cs="Calibri"/>
                <w:bCs/>
                <w:lang w:val="lt-LT" w:eastAsia="en-US"/>
              </w:rPr>
              <w:t>4) nusikalstamą bankrotą;</w:t>
            </w:r>
          </w:p>
          <w:p>
            <w:pPr>
              <w:pStyle w:val="NoSpacing"/>
              <w:jc w:val="both"/>
              <w:rPr>
                <w:lang w:val="lt-LT"/>
              </w:rPr>
            </w:pPr>
            <w:r>
              <w:rPr>
                <w:rFonts w:cs="Calibri"/>
                <w:bCs/>
                <w:lang w:val="lt-LT" w:eastAsia="en-US"/>
              </w:rPr>
              <w:t>5) teroristinį ir su teroristine veikla susijusį nusikaltimą;</w:t>
            </w:r>
          </w:p>
          <w:p>
            <w:pPr>
              <w:pStyle w:val="NoSpacing"/>
              <w:jc w:val="both"/>
              <w:rPr>
                <w:lang w:val="lt-LT"/>
              </w:rPr>
            </w:pPr>
            <w:r>
              <w:rPr>
                <w:rFonts w:cs="Calibri"/>
                <w:bCs/>
                <w:lang w:val="lt-LT" w:eastAsia="en-US"/>
              </w:rPr>
              <w:t>6) nusikalstamu būdu gauto turto legalizavimą;</w:t>
            </w:r>
          </w:p>
          <w:p>
            <w:pPr>
              <w:pStyle w:val="NoSpacing"/>
              <w:jc w:val="both"/>
              <w:rPr>
                <w:lang w:val="lt-LT"/>
              </w:rPr>
            </w:pPr>
            <w:r>
              <w:rPr>
                <w:rFonts w:cs="Calibri"/>
                <w:bCs/>
                <w:lang w:val="lt-LT" w:eastAsia="en-US"/>
              </w:rPr>
              <w:t>7) prekybą žmonėmis, vaiko pirkimą arba pardavimą;</w:t>
            </w:r>
          </w:p>
          <w:p>
            <w:pPr>
              <w:pStyle w:val="NoSpacing"/>
              <w:jc w:val="both"/>
              <w:rPr>
                <w:lang w:val="lt-LT"/>
              </w:rPr>
            </w:pPr>
            <w:r>
              <w:rPr>
                <w:rFonts w:cs="Calibri"/>
                <w:bCs/>
                <w:lang w:val="lt-LT"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cs="Calibri"/>
                <w:b/>
                <w:bCs/>
                <w:lang w:val="lt-LT" w:eastAsia="en-US"/>
              </w:rPr>
            </w:pPr>
            <w:r>
              <w:rPr>
                <w:rFonts w:cs="Calibri"/>
                <w:b/>
                <w:bCs/>
                <w:lang w:val="lt-LT" w:eastAsia="en-US"/>
              </w:rPr>
            </w:r>
          </w:p>
          <w:p>
            <w:pPr>
              <w:pStyle w:val="NoSpacing"/>
              <w:jc w:val="both"/>
              <w:rPr>
                <w:lang w:val="lt-LT"/>
              </w:rPr>
            </w:pPr>
            <w:r>
              <w:rPr>
                <w:rFonts w:cs="Calibri"/>
                <w:bCs/>
                <w:lang w:val="lt-LT" w:eastAsia="en-US"/>
              </w:rPr>
              <w:t>Laikoma, kad tiekėjas arba jo atsakingas asmuo nuteistas už aukščiau nurodytą nusikalstamą veiką, kai dėl:</w:t>
            </w:r>
          </w:p>
          <w:p>
            <w:pPr>
              <w:pStyle w:val="NoSpacing"/>
              <w:jc w:val="both"/>
              <w:rPr>
                <w:lang w:val="lt-LT"/>
              </w:rPr>
            </w:pPr>
            <w:r>
              <w:rPr>
                <w:rFonts w:cs="Calibri"/>
                <w:bCs/>
                <w:lang w:val="lt-LT" w:eastAsia="en-US"/>
              </w:rPr>
              <w:t>1) tiekėjo, kuris yra fizinis asmuo, per pastaruosius 5 metus buvo priimtas ir įsiteisėjęs apkaltinamasis teismo nuosprendis ir šis asmuo turi neišnykusį ar nepanaikintą teistumą;</w:t>
            </w:r>
          </w:p>
          <w:p>
            <w:pPr>
              <w:pStyle w:val="NoSpacing"/>
              <w:jc w:val="both"/>
              <w:rPr>
                <w:lang w:val="lt-LT"/>
              </w:rPr>
            </w:pPr>
            <w:r>
              <w:rPr>
                <w:rFonts w:cs="Calibri"/>
                <w:lang w:val="lt-LT" w:eastAsia="en-US"/>
              </w:rPr>
              <w:t xml:space="preserve">2) tiekėjo, kuris yra juridinis asmuo, kita organizacija ar jos </w:t>
            </w:r>
            <w:r>
              <w:rPr>
                <w:rFonts w:cs="Calibri"/>
                <w:bCs/>
                <w:lang w:val="lt-LT" w:eastAsia="en-US"/>
              </w:rPr>
              <w:t>struktūrinis</w:t>
            </w:r>
            <w:r>
              <w:rPr>
                <w:rFonts w:cs="Calibri"/>
                <w:lang w:val="lt-LT"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lang w:val="lt-LT"/>
              </w:rPr>
            </w:pPr>
            <w:r>
              <w:rPr>
                <w:rFonts w:cs="Calibri"/>
                <w:bCs/>
                <w:lang w:val="lt-LT" w:eastAsia="en-US"/>
              </w:rPr>
              <w:t xml:space="preserve">3) tiekėjo, kuris yra juridinis asmuo, kita organizacija ar jos </w:t>
            </w:r>
            <w:r>
              <w:rPr>
                <w:rFonts w:cs="Calibri"/>
                <w:lang w:val="lt-LT" w:eastAsia="en-US"/>
              </w:rPr>
              <w:t>struktūrinis</w:t>
            </w:r>
            <w:r>
              <w:rPr>
                <w:rFonts w:cs="Calibri"/>
                <w:bCs/>
                <w:lang w:val="lt-LT"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22"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eastAsia="Yu Mincho" w:cs="Calibri"/>
                <w:b/>
                <w:bCs/>
                <w:lang w:val="lt-LT" w:eastAsia="en-US"/>
              </w:rPr>
              <w:t>VPĮ 46 straipsnio 1 dalis</w:t>
            </w:r>
          </w:p>
          <w:p>
            <w:pPr>
              <w:pStyle w:val="NoSpacing"/>
              <w:jc w:val="both"/>
              <w:rPr>
                <w:rFonts w:eastAsia="Yu Mincho" w:cs="Calibri"/>
                <w:lang w:val="lt-LT" w:eastAsia="en-US"/>
              </w:rPr>
            </w:pPr>
            <w:r>
              <w:rPr>
                <w:rFonts w:eastAsia="Yu Mincho" w:cs="Calibri"/>
                <w:lang w:val="lt-LT" w:eastAsia="en-US"/>
              </w:rPr>
            </w:r>
          </w:p>
          <w:p>
            <w:pPr>
              <w:pStyle w:val="NoSpacing"/>
              <w:jc w:val="both"/>
              <w:rPr>
                <w:lang w:val="lt-LT"/>
              </w:rPr>
            </w:pPr>
            <w:r>
              <w:rPr>
                <w:rFonts w:eastAsia="Yu Mincho" w:cs="Calibri"/>
                <w:lang w:val="lt-LT" w:eastAsia="en-US"/>
              </w:rPr>
              <w:t>EBVPD III dalies A1-A6 punktai</w:t>
            </w:r>
          </w:p>
          <w:p>
            <w:pPr>
              <w:pStyle w:val="NoSpacing"/>
              <w:jc w:val="both"/>
              <w:rPr>
                <w:rFonts w:eastAsia="Yu Mincho" w:cs="Calibri"/>
                <w:lang w:val="lt-LT" w:eastAsia="en-US"/>
              </w:rPr>
            </w:pPr>
            <w:r>
              <w:rPr>
                <w:rFonts w:eastAsia="Yu Mincho" w:cs="Calibri"/>
                <w:lang w:val="lt-LT" w:eastAsia="en-US"/>
              </w:rPr>
            </w:r>
          </w:p>
          <w:p>
            <w:pPr>
              <w:pStyle w:val="NoSpacing"/>
              <w:jc w:val="both"/>
              <w:rPr>
                <w:lang w:val="lt-LT"/>
              </w:rPr>
            </w:pPr>
            <w:r>
              <w:rPr>
                <w:rFonts w:eastAsia="Yu Mincho" w:cs="Calibri"/>
                <w:lang w:val="lt-LT" w:eastAsia="en-US"/>
              </w:rPr>
              <w:t>EBVPD III dalies D1 punktas</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eastAsia="en-US"/>
              </w:rPr>
              <w:t>Iš Lietuvoje įsteigtų subjektų reikalaujama:</w:t>
            </w:r>
          </w:p>
          <w:p>
            <w:pPr>
              <w:pStyle w:val="NoSpacing"/>
              <w:numPr>
                <w:ilvl w:val="0"/>
                <w:numId w:val="6"/>
              </w:numPr>
              <w:ind w:hanging="360" w:left="314"/>
              <w:jc w:val="both"/>
              <w:rPr>
                <w:lang w:val="lt-LT"/>
              </w:rPr>
            </w:pPr>
            <w:r>
              <w:rPr>
                <w:rFonts w:cs="Calibri"/>
                <w:lang w:val="lt-LT"/>
              </w:rPr>
              <w:t>išrašo iš teismo sprendimo arba</w:t>
            </w:r>
          </w:p>
          <w:p>
            <w:pPr>
              <w:pStyle w:val="NoSpacing"/>
              <w:numPr>
                <w:ilvl w:val="0"/>
                <w:numId w:val="37"/>
              </w:numPr>
              <w:ind w:hanging="360" w:left="314"/>
              <w:jc w:val="both"/>
              <w:rPr>
                <w:lang w:val="lt-LT"/>
              </w:rPr>
            </w:pPr>
            <w:r>
              <w:rPr>
                <w:rFonts w:cs="Calibri"/>
                <w:lang w:val="lt-LT"/>
              </w:rPr>
              <w:t>Informatikos ir ryšių departamento prie Vidaus reikalų ministerijos pažymos, arba</w:t>
            </w:r>
          </w:p>
          <w:p>
            <w:pPr>
              <w:pStyle w:val="NoSpacing"/>
              <w:numPr>
                <w:ilvl w:val="0"/>
                <w:numId w:val="38"/>
              </w:numPr>
              <w:ind w:hanging="360" w:left="314"/>
              <w:jc w:val="both"/>
              <w:rPr>
                <w:lang w:val="lt-LT"/>
              </w:rPr>
            </w:pPr>
            <w:r>
              <w:rPr>
                <w:rFonts w:cs="Calibri"/>
                <w:lang w:val="lt-LT"/>
              </w:rPr>
              <w:t>valstybės įmonės Registrų centro Lietuvos Respublikos Vyriausybės nustatyta tvarka išduoto dokumento, patvirtinančio jungtinius kompetentingų institucijų tvarkomus duomenis.</w:t>
            </w:r>
          </w:p>
          <w:p>
            <w:pPr>
              <w:pStyle w:val="NoSpacing"/>
              <w:jc w:val="both"/>
              <w:rPr>
                <w:rFonts w:cs="Calibri"/>
                <w:lang w:val="lt-LT" w:eastAsia="en-US"/>
              </w:rPr>
            </w:pPr>
            <w:r>
              <w:rPr>
                <w:rFonts w:cs="Calibri"/>
                <w:lang w:val="lt-LT" w:eastAsia="en-US"/>
              </w:rPr>
            </w:r>
          </w:p>
          <w:p>
            <w:pPr>
              <w:pStyle w:val="NoSpacing"/>
              <w:jc w:val="both"/>
              <w:rPr>
                <w:lang w:val="lt-LT"/>
              </w:rPr>
            </w:pPr>
            <w:r>
              <w:rPr>
                <w:rFonts w:cs="Calibri"/>
                <w:lang w:val="lt-LT" w:eastAsia="en-US"/>
              </w:rPr>
              <w:t>Iš ne Lietuvoje įsteigtų subjektų reikalaujama:</w:t>
            </w:r>
          </w:p>
          <w:p>
            <w:pPr>
              <w:pStyle w:val="NoSpacing"/>
              <w:numPr>
                <w:ilvl w:val="0"/>
                <w:numId w:val="39"/>
              </w:numPr>
              <w:ind w:hanging="360" w:left="314"/>
              <w:jc w:val="both"/>
              <w:rPr>
                <w:lang w:val="lt-LT"/>
              </w:rPr>
            </w:pPr>
            <w:r>
              <w:rPr>
                <w:rFonts w:cs="Calibri"/>
                <w:lang w:val="lt-LT"/>
              </w:rPr>
              <w:t>atitinkamos užsienio šalies institucijos dokumento</w:t>
            </w:r>
            <w:r>
              <w:rPr>
                <w:rStyle w:val="FootnoteReference"/>
                <w:rFonts w:cs="Calibri"/>
                <w:lang w:val="lt-LT"/>
              </w:rPr>
              <w:footnoteReference w:id="2"/>
            </w:r>
            <w:r>
              <w:rPr>
                <w:rFonts w:cs="Calibri"/>
                <w:lang w:val="lt-LT"/>
              </w:rPr>
              <w:t>.</w:t>
            </w:r>
          </w:p>
          <w:p>
            <w:pPr>
              <w:pStyle w:val="NoSpacing"/>
              <w:jc w:val="both"/>
              <w:rPr>
                <w:rFonts w:cs="Calibri"/>
                <w:lang w:val="lt-LT"/>
              </w:rPr>
            </w:pPr>
            <w:r>
              <w:rPr>
                <w:rFonts w:cs="Calibri"/>
                <w:lang w:val="lt-LT"/>
              </w:rPr>
            </w:r>
          </w:p>
          <w:p>
            <w:pPr>
              <w:pStyle w:val="NoSpacing"/>
              <w:jc w:val="both"/>
              <w:rPr>
                <w:lang w:val="lt-LT"/>
              </w:rPr>
            </w:pPr>
            <w:r>
              <w:rPr>
                <w:rFonts w:cs="Calibri"/>
                <w:lang w:val="lt-LT"/>
              </w:rPr>
              <w:t xml:space="preserve">Nurodyti dokumentai turi būti išduoti ne anksčiau kaip 180 dienų iki </w:t>
            </w:r>
            <w:r>
              <w:rPr>
                <w:rFonts w:eastAsia="Times New Roman" w:cs="Calibri"/>
                <w:i/>
                <w:iCs/>
                <w:lang w:val="lt-LT"/>
              </w:rPr>
              <w:t>tos dienos, kai tiekėjas perkančiosios organizacijos prašymu turės pateikti pašalinimo pagrindų nebuvimą patvirtinančius dok</w:t>
            </w:r>
            <w:r>
              <w:rPr>
                <w:rFonts w:eastAsia="Times New Roman" w:cs="Calibri"/>
                <w:lang w:val="lt-LT"/>
              </w:rPr>
              <w:t>umentus</w:t>
            </w:r>
            <w:r>
              <w:rPr>
                <w:rFonts w:cs="Calibri"/>
                <w:lang w:val="lt-LT"/>
              </w:rPr>
              <w:t>.</w:t>
            </w:r>
          </w:p>
          <w:p>
            <w:pPr>
              <w:pStyle w:val="NoSpacing"/>
              <w:jc w:val="both"/>
              <w:rPr>
                <w:lang w:val="lt-LT"/>
              </w:rPr>
            </w:pPr>
            <w:r>
              <w:rPr>
                <w:rFonts w:cs="Calibri"/>
                <w:bCs/>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lang w:val="lt-LT"/>
              </w:rPr>
            </w:pPr>
            <w:r>
              <w:rPr>
                <w:rFonts w:cs="Calibri"/>
                <w:b/>
                <w:bCs/>
                <w:i/>
                <w:iCs/>
                <w:lang w:val="lt-LT"/>
              </w:rPr>
              <w:t>PASTABA</w:t>
            </w:r>
          </w:p>
          <w:p>
            <w:pPr>
              <w:pStyle w:val="NoSpacing"/>
              <w:jc w:val="both"/>
              <w:rPr>
                <w:lang w:val="lt-LT"/>
              </w:rPr>
            </w:pPr>
            <w:r>
              <w:rPr>
                <w:rFonts w:cs="Calibri"/>
                <w:lang w:val="lt-LT"/>
              </w:rPr>
              <w:t>Pažymų, patvirtinančių VPĮ 46 straipsnyje nurodytų tiekėjo pašalinimo pagrindų nebuvimą, pateikti nereikalaujama. Jų perkančioji organizacija reikalaus tik turėdama pagrįstų abejonių dėl tiekėjo patikimumo.</w:t>
            </w:r>
          </w:p>
        </w:tc>
      </w:tr>
      <w:tr>
        <w:trPr/>
        <w:tc>
          <w:tcPr>
            <w:tcW w:w="522" w:type="dxa"/>
            <w:tcBorders>
              <w:top w:val="single" w:sz="4" w:space="0" w:color="000000"/>
              <w:left w:val="single" w:sz="4" w:space="0" w:color="000000"/>
              <w:bottom w:val="single" w:sz="4" w:space="0" w:color="000000"/>
              <w:right w:val="single" w:sz="4" w:space="0" w:color="000000"/>
            </w:tcBorders>
          </w:tcPr>
          <w:p>
            <w:pPr>
              <w:pStyle w:val="NoSpacing"/>
              <w:numPr>
                <w:ilvl w:val="0"/>
                <w:numId w:val="40"/>
              </w:numPr>
              <w:ind w:hanging="0" w:left="0"/>
              <w:rPr>
                <w:rFonts w:cs="Calibri"/>
                <w:b/>
                <w:bCs/>
                <w:lang w:val="lt-LT"/>
              </w:rPr>
            </w:pPr>
            <w:r>
              <w:rPr>
                <w:rFonts w:cs="Calibri"/>
                <w:b/>
                <w:bCs/>
                <w:lang w:val="lt-LT"/>
              </w:rPr>
            </w:r>
          </w:p>
        </w:tc>
        <w:tc>
          <w:tcPr>
            <w:tcW w:w="4640"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cs="Calibri"/>
                <w:b/>
                <w:bCs/>
                <w:lang w:val="lt-LT" w:eastAsia="en-US"/>
              </w:rPr>
            </w:pPr>
            <w:r>
              <w:rPr>
                <w:rFonts w:cs="Calibri"/>
                <w:b/>
                <w:bCs/>
                <w:lang w:val="lt-LT" w:eastAsia="en-US"/>
              </w:rPr>
            </w:r>
          </w:p>
          <w:p>
            <w:pPr>
              <w:pStyle w:val="NoSpacing"/>
              <w:jc w:val="both"/>
              <w:rPr>
                <w:lang w:val="lt-LT"/>
              </w:rPr>
            </w:pPr>
            <w:r>
              <w:rPr>
                <w:rFonts w:cs="Calibri"/>
                <w:bCs/>
                <w:lang w:val="lt-LT" w:eastAsia="en-US"/>
              </w:rPr>
              <w:t>Laikoma, kad tiekėjas nuteistas už aukščiau nurodytą nusikalstamą veiką, kai dėl:</w:t>
            </w:r>
          </w:p>
          <w:p>
            <w:pPr>
              <w:pStyle w:val="NoSpacing"/>
              <w:jc w:val="both"/>
              <w:rPr>
                <w:lang w:val="lt-LT"/>
              </w:rPr>
            </w:pPr>
            <w:r>
              <w:rPr>
                <w:rFonts w:cs="Calibri"/>
                <w:bCs/>
                <w:lang w:val="lt-LT" w:eastAsia="en-US"/>
              </w:rPr>
              <w:t>1) tiekėjo, kuris yra fizinis asmuo, per pastaruosius 5 metus buvo priimtas ir įsiteisėjęs apkaltinamasis teismo nuosprendis ir šis asmuo turi neišnykusį ar nepanaikintą teistumą;</w:t>
            </w:r>
          </w:p>
          <w:p>
            <w:pPr>
              <w:pStyle w:val="NoSpacing"/>
              <w:jc w:val="both"/>
              <w:rPr>
                <w:lang w:val="lt-LT"/>
              </w:rPr>
            </w:pPr>
            <w:r>
              <w:rPr>
                <w:rFonts w:cs="Calibri"/>
                <w:bCs/>
                <w:lang w:val="lt-LT" w:eastAsia="en-US"/>
              </w:rPr>
              <w:t xml:space="preserve">2) tiekėjo, kuris yra juridinis asmuo, kita organizacija ar jos </w:t>
            </w:r>
            <w:r>
              <w:rPr>
                <w:rFonts w:cs="Calibri"/>
                <w:lang w:val="lt-LT" w:eastAsia="en-US"/>
              </w:rPr>
              <w:t>struktūrinis</w:t>
            </w:r>
            <w:r>
              <w:rPr>
                <w:rFonts w:cs="Calibri"/>
                <w:bCs/>
                <w:lang w:val="lt-LT"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lang w:val="lt-LT"/>
              </w:rPr>
            </w:pPr>
            <w:r>
              <w:rPr>
                <w:rFonts w:cs="Calibri"/>
                <w:bCs/>
                <w:lang w:val="lt-LT" w:eastAsia="en-US"/>
              </w:rPr>
              <w:t>Tačiau ši nuostata netaikoma, jeigu:</w:t>
            </w:r>
          </w:p>
          <w:p>
            <w:pPr>
              <w:pStyle w:val="NoSpacing"/>
              <w:jc w:val="both"/>
              <w:rPr>
                <w:lang w:val="lt-LT"/>
              </w:rPr>
            </w:pPr>
            <w:r>
              <w:rPr>
                <w:rFonts w:cs="Calibri"/>
                <w:bCs/>
                <w:lang w:val="lt-LT" w:eastAsia="en-US"/>
              </w:rPr>
              <w:t>1) tiekėjas yra įsipareigojęs sumokėti mokesčius, įskaitant socialinio draudimo įmokas ir dėl to laikomas jau įvykdžiusiu šioje dalyje nurodytus įsipareigojimus;</w:t>
            </w:r>
          </w:p>
          <w:p>
            <w:pPr>
              <w:pStyle w:val="NoSpacing"/>
              <w:jc w:val="both"/>
              <w:rPr>
                <w:lang w:val="lt-LT"/>
              </w:rPr>
            </w:pPr>
            <w:r>
              <w:rPr>
                <w:rFonts w:cs="Calibri"/>
                <w:bCs/>
                <w:lang w:val="lt-LT" w:eastAsia="en-US"/>
              </w:rPr>
              <w:t>2) įsiskolinimo suma neviršija 50 Eur (penkiasdešimt eurų);</w:t>
            </w:r>
          </w:p>
          <w:p>
            <w:pPr>
              <w:pStyle w:val="NoSpacing"/>
              <w:jc w:val="both"/>
              <w:rPr>
                <w:lang w:val="lt-LT"/>
              </w:rPr>
            </w:pPr>
            <w:r>
              <w:rPr>
                <w:rFonts w:cs="Calibri"/>
                <w:bCs/>
                <w:lang w:val="lt-LT"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22"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eastAsia="Yu Mincho" w:cs="Calibri"/>
                <w:b/>
                <w:bCs/>
                <w:lang w:val="lt-LT"/>
              </w:rPr>
              <w:t>VPĮ 46 straipsnio 3 dalis</w:t>
            </w:r>
          </w:p>
          <w:p>
            <w:pPr>
              <w:pStyle w:val="NoSpacing"/>
              <w:jc w:val="both"/>
              <w:rPr>
                <w:rFonts w:eastAsia="Arial" w:cs="Calibri"/>
                <w:lang w:val="lt-LT"/>
              </w:rPr>
            </w:pPr>
            <w:r>
              <w:rPr>
                <w:rFonts w:eastAsia="Arial" w:cs="Calibri"/>
                <w:lang w:val="lt-LT"/>
              </w:rPr>
            </w:r>
          </w:p>
          <w:p>
            <w:pPr>
              <w:pStyle w:val="NoSpacing"/>
              <w:jc w:val="both"/>
              <w:rPr>
                <w:lang w:val="lt-LT"/>
              </w:rPr>
            </w:pPr>
            <w:r>
              <w:rPr>
                <w:rFonts w:eastAsia="Arial" w:cs="Calibri"/>
                <w:lang w:val="lt-LT"/>
              </w:rPr>
              <w:t>EBVPD III dalies B1 ir B2 punktai</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rPr>
              <w:t>1) Dėl įsipareigojimų, susijusių su mokesčių mokėjimu, įvykdymo i</w:t>
            </w:r>
            <w:r>
              <w:rPr>
                <w:rFonts w:cs="Calibri"/>
                <w:lang w:val="lt-LT" w:eastAsia="en-US"/>
              </w:rPr>
              <w:t xml:space="preserve">š Lietuvoje įsteigtų subjektų </w:t>
            </w:r>
            <w:r>
              <w:rPr>
                <w:rFonts w:cs="Calibri"/>
                <w:lang w:val="lt-LT"/>
              </w:rPr>
              <w:t>prašoma:</w:t>
            </w:r>
          </w:p>
          <w:p>
            <w:pPr>
              <w:pStyle w:val="NoSpacing"/>
              <w:numPr>
                <w:ilvl w:val="0"/>
                <w:numId w:val="8"/>
              </w:numPr>
              <w:tabs>
                <w:tab w:val="clear" w:pos="720"/>
                <w:tab w:val="left" w:pos="294" w:leader="none"/>
              </w:tabs>
              <w:ind w:hanging="0" w:left="33"/>
              <w:jc w:val="both"/>
              <w:rPr>
                <w:lang w:val="lt-LT"/>
              </w:rPr>
            </w:pPr>
            <w:r>
              <w:rPr>
                <w:rFonts w:cs="Calibri"/>
                <w:lang w:val="lt-LT"/>
              </w:rPr>
              <w:t>išrašo iš teismo sprendimo (jei toks yra) arba Valstybinės mokesčių inspekcijos prie Lietuvos Respublikos finansų ministerijos išduoto dokumento,</w:t>
            </w:r>
          </w:p>
          <w:p>
            <w:pPr>
              <w:pStyle w:val="NoSpacing"/>
              <w:numPr>
                <w:ilvl w:val="0"/>
                <w:numId w:val="41"/>
              </w:numPr>
              <w:tabs>
                <w:tab w:val="clear" w:pos="720"/>
                <w:tab w:val="left" w:pos="294" w:leader="none"/>
              </w:tabs>
              <w:ind w:hanging="0" w:left="33"/>
              <w:jc w:val="both"/>
              <w:rPr>
                <w:lang w:val="lt-LT"/>
              </w:rPr>
            </w:pPr>
            <w:r>
              <w:rPr>
                <w:rFonts w:cs="Calibri"/>
                <w:lang w:val="lt-LT"/>
              </w:rPr>
              <w:t>arba valstybės įmonės Registrų centro Lietuvos Respublikos Vyriausybės nustatyta tvarka išduoto dokumento, patvirtinančio jungtinius kompetentingų institucijų tvarkomus duomenis.</w:t>
            </w:r>
          </w:p>
          <w:p>
            <w:pPr>
              <w:pStyle w:val="NoSpacing"/>
              <w:jc w:val="both"/>
              <w:rPr>
                <w:rFonts w:cs="Calibri"/>
                <w:lang w:val="lt-LT"/>
              </w:rPr>
            </w:pPr>
            <w:r>
              <w:rPr>
                <w:rFonts w:cs="Calibri"/>
                <w:lang w:val="lt-LT"/>
              </w:rPr>
            </w:r>
          </w:p>
          <w:p>
            <w:pPr>
              <w:pStyle w:val="NoSpacing"/>
              <w:jc w:val="both"/>
              <w:rPr>
                <w:lang w:val="lt-LT"/>
              </w:rPr>
            </w:pPr>
            <w:r>
              <w:rPr>
                <w:rFonts w:cs="Calibri"/>
                <w:lang w:val="lt-LT" w:eastAsia="en-US"/>
              </w:rPr>
              <w:t>Iš ne Lietuvoje įsteigtų subjektų reikalaujama:</w:t>
            </w:r>
          </w:p>
          <w:p>
            <w:pPr>
              <w:pStyle w:val="NoSpacing"/>
              <w:numPr>
                <w:ilvl w:val="0"/>
                <w:numId w:val="9"/>
              </w:numPr>
              <w:tabs>
                <w:tab w:val="clear" w:pos="720"/>
                <w:tab w:val="left" w:pos="306" w:leader="none"/>
              </w:tabs>
              <w:ind w:hanging="0" w:left="33"/>
              <w:jc w:val="both"/>
              <w:rPr>
                <w:lang w:val="lt-LT"/>
              </w:rPr>
            </w:pPr>
            <w:r>
              <w:rPr>
                <w:rFonts w:cs="Calibri"/>
                <w:lang w:val="lt-LT"/>
              </w:rPr>
              <w:t>atitinkamos užsienio šalies institucijos dokumento</w:t>
            </w:r>
            <w:r>
              <w:rPr>
                <w:rStyle w:val="FootnoteReference"/>
                <w:rFonts w:cs="Calibri"/>
                <w:lang w:val="lt-LT"/>
              </w:rPr>
              <w:footnoteReference w:id="3"/>
            </w:r>
            <w:r>
              <w:rPr>
                <w:rFonts w:cs="Calibri"/>
                <w:lang w:val="lt-LT"/>
              </w:rPr>
              <w:t>.</w:t>
            </w:r>
          </w:p>
          <w:p>
            <w:pPr>
              <w:pStyle w:val="NoSpacing"/>
              <w:jc w:val="both"/>
              <w:rPr>
                <w:lang w:val="lt-LT"/>
              </w:rPr>
            </w:pPr>
            <w:r>
              <w:rPr>
                <w:rFonts w:cs="Calibri"/>
                <w:lang w:val="lt-LT"/>
              </w:rPr>
              <w:t xml:space="preserve">Nurodyti dokumentai turi būti  išduoti ne anksčiau kaip 120 dienų iki </w:t>
            </w:r>
            <w:r>
              <w:rPr>
                <w:rFonts w:eastAsia="Times New Roman" w:cs="Calibri"/>
                <w:i/>
                <w:iCs/>
                <w:lang w:val="lt-LT"/>
              </w:rPr>
              <w:t>tos dienos, kai tiekėjas perkančiosios organizacijos prašymu turės pateikti pašalinimo pagrindų nebuvimą patvirtinančius dok</w:t>
            </w:r>
            <w:r>
              <w:rPr>
                <w:rFonts w:eastAsia="Times New Roman" w:cs="Calibri"/>
                <w:lang w:val="lt-LT"/>
              </w:rPr>
              <w:t>umentus</w:t>
            </w:r>
            <w:r>
              <w:rPr>
                <w:rFonts w:cs="Calibri"/>
                <w:lang w:val="lt-LT"/>
              </w:rPr>
              <w:t>.</w:t>
            </w:r>
          </w:p>
          <w:p>
            <w:pPr>
              <w:pStyle w:val="NoSpacing"/>
              <w:jc w:val="both"/>
              <w:rPr>
                <w:lang w:val="lt-LT"/>
              </w:rPr>
            </w:pPr>
            <w:r>
              <w:rPr>
                <w:rFonts w:cs="Calibri"/>
                <w:bCs/>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lang w:val="lt-LT"/>
              </w:rPr>
            </w:pPr>
            <w:r>
              <w:rPr>
                <w:rFonts w:cs="Calibri"/>
                <w:bCs/>
                <w:lang w:val="lt-LT"/>
              </w:rPr>
              <w:t>2) Dėl įsipareigojimų, susijusių su socialinio draudimo įmokų mokėjimu, įvykdymo i</w:t>
            </w:r>
            <w:r>
              <w:rPr>
                <w:rFonts w:cs="Calibri"/>
                <w:lang w:val="lt-LT" w:eastAsia="en-US"/>
              </w:rPr>
              <w:t xml:space="preserve">š Lietuvoje įsteigtų subjektų </w:t>
            </w:r>
            <w:r>
              <w:rPr>
                <w:rFonts w:cs="Calibri"/>
                <w:bCs/>
                <w:lang w:val="lt-LT"/>
              </w:rPr>
              <w:t>prašoma:</w:t>
            </w:r>
          </w:p>
          <w:p>
            <w:pPr>
              <w:pStyle w:val="NoSpacing"/>
              <w:jc w:val="both"/>
              <w:rPr/>
            </w:pPr>
            <w:r>
              <w:rPr>
                <w:rFonts w:cs="Calibri"/>
                <w:bCs/>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r>
                <w:rPr>
                  <w:rFonts w:cs="Calibri"/>
                  <w:bCs/>
                  <w:color w:val="000080"/>
                  <w:u w:val="single"/>
                  <w:lang w:val="lt-LT"/>
                </w:rPr>
                <w:t>http://draudejai.sodra.lt/draudeju_viesi_duomenys/</w:t>
              </w:r>
            </w:hyperlink>
            <w:r>
              <w:rPr>
                <w:rFonts w:cs="Calibri"/>
                <w:bCs/>
                <w:lang w:val="lt-LT"/>
              </w:rPr>
              <w:t>.</w:t>
            </w:r>
          </w:p>
          <w:p>
            <w:pPr>
              <w:pStyle w:val="NoSpacing"/>
              <w:jc w:val="both"/>
              <w:rPr>
                <w:rFonts w:cs="Calibri"/>
                <w:b/>
                <w:bCs/>
                <w:lang w:val="lt-LT"/>
              </w:rPr>
            </w:pPr>
            <w:r>
              <w:rPr>
                <w:rFonts w:cs="Calibri"/>
                <w:b/>
                <w:bCs/>
                <w:lang w:val="lt-LT"/>
              </w:rPr>
            </w:r>
          </w:p>
          <w:p>
            <w:pPr>
              <w:pStyle w:val="NoSpacing"/>
              <w:jc w:val="both"/>
              <w:rPr>
                <w:lang w:val="lt-LT"/>
              </w:rPr>
            </w:pPr>
            <w:r>
              <w:rPr>
                <w:rFonts w:cs="Calibri"/>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cs="Calibri"/>
                <w:b/>
                <w:bCs/>
                <w:lang w:val="lt-LT"/>
              </w:rPr>
            </w:pPr>
            <w:r>
              <w:rPr>
                <w:rFonts w:cs="Calibri"/>
                <w:b/>
                <w:bCs/>
                <w:lang w:val="lt-LT"/>
              </w:rPr>
            </w:r>
          </w:p>
          <w:p>
            <w:pPr>
              <w:pStyle w:val="NoSpacing"/>
              <w:jc w:val="both"/>
              <w:rPr>
                <w:lang w:val="lt-LT"/>
              </w:rPr>
            </w:pPr>
            <w:r>
              <w:rPr>
                <w:rFonts w:cs="Calibri"/>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cs="Calibri"/>
                <w:b/>
                <w:bCs/>
                <w:lang w:val="lt-LT"/>
              </w:rPr>
            </w:pPr>
            <w:r>
              <w:rPr>
                <w:rFonts w:cs="Calibri"/>
                <w:b/>
                <w:bCs/>
                <w:lang w:val="lt-LT"/>
              </w:rPr>
            </w:r>
          </w:p>
          <w:p>
            <w:pPr>
              <w:pStyle w:val="NoSpacing"/>
              <w:jc w:val="both"/>
              <w:rPr>
                <w:lang w:val="lt-LT"/>
              </w:rPr>
            </w:pPr>
            <w:r>
              <w:rPr>
                <w:rFonts w:cs="Calibri"/>
                <w:lang w:val="lt-LT" w:eastAsia="en-US"/>
              </w:rPr>
              <w:t>Iš ne Lietuvoje įsteigtų subjektų reikalaujama:</w:t>
            </w:r>
          </w:p>
          <w:p>
            <w:pPr>
              <w:pStyle w:val="NoSpacing"/>
              <w:numPr>
                <w:ilvl w:val="0"/>
                <w:numId w:val="42"/>
              </w:numPr>
              <w:tabs>
                <w:tab w:val="clear" w:pos="720"/>
                <w:tab w:val="left" w:pos="283" w:leader="none"/>
              </w:tabs>
              <w:ind w:hanging="0" w:left="33"/>
              <w:jc w:val="both"/>
              <w:rPr>
                <w:lang w:val="lt-LT"/>
              </w:rPr>
            </w:pPr>
            <w:r>
              <w:rPr>
                <w:rFonts w:cs="Calibri"/>
                <w:lang w:val="lt-LT"/>
              </w:rPr>
              <w:t>atitinkamos užsienio šalies kompetentingos institucijos dokumento</w:t>
            </w:r>
            <w:r>
              <w:rPr>
                <w:rStyle w:val="FootnoteReference"/>
                <w:rFonts w:cs="Calibri"/>
                <w:lang w:val="lt-LT"/>
              </w:rPr>
              <w:footnoteReference w:id="4"/>
            </w:r>
            <w:r>
              <w:rPr>
                <w:rFonts w:cs="Calibri"/>
                <w:lang w:val="lt-LT"/>
              </w:rPr>
              <w:t>.</w:t>
            </w:r>
          </w:p>
          <w:p>
            <w:pPr>
              <w:pStyle w:val="NoSpacing"/>
              <w:jc w:val="both"/>
              <w:rPr>
                <w:lang w:val="lt-LT"/>
              </w:rPr>
            </w:pPr>
            <w:r>
              <w:rPr>
                <w:rFonts w:cs="Calibri"/>
                <w:lang w:val="lt-LT"/>
              </w:rPr>
              <w:t xml:space="preserve">Nurodyti dokumentai turi būti  išduoti ne anksčiau kaip 120 dienų iki </w:t>
            </w:r>
            <w:r>
              <w:rPr>
                <w:rFonts w:eastAsia="Times New Roman" w:cs="Calibri"/>
                <w:i/>
                <w:iCs/>
                <w:lang w:val="lt-LT"/>
              </w:rPr>
              <w:t>tos dienos, kai tiekėjas perkančiosios organizacijos prašymu turės pateikti pašalinimo pagrindų nebuvimą patvirtinančius dok</w:t>
            </w:r>
            <w:r>
              <w:rPr>
                <w:rFonts w:eastAsia="Times New Roman" w:cs="Calibri"/>
                <w:lang w:val="lt-LT"/>
              </w:rPr>
              <w:t>umentus</w:t>
            </w:r>
            <w:r>
              <w:rPr>
                <w:rFonts w:cs="Calibri"/>
                <w:lang w:val="lt-LT"/>
              </w:rPr>
              <w:t>.</w:t>
            </w:r>
          </w:p>
          <w:p>
            <w:pPr>
              <w:pStyle w:val="NoSpacing"/>
              <w:jc w:val="both"/>
              <w:rPr>
                <w:lang w:val="lt-LT"/>
              </w:rPr>
            </w:pPr>
            <w:r>
              <w:rPr>
                <w:rFonts w:cs="Calibri"/>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lang w:val="lt-LT"/>
              </w:rPr>
            </w:pPr>
            <w:r>
              <w:rPr>
                <w:rFonts w:cs="Calibri"/>
                <w:b/>
                <w:bCs/>
                <w:i/>
                <w:iCs/>
                <w:lang w:val="lt-LT"/>
              </w:rPr>
              <w:t>PASTABA</w:t>
            </w:r>
          </w:p>
          <w:p>
            <w:pPr>
              <w:pStyle w:val="NoSpacing"/>
              <w:jc w:val="both"/>
              <w:rPr>
                <w:lang w:val="lt-LT"/>
              </w:rPr>
            </w:pPr>
            <w:r>
              <w:rPr>
                <w:rFonts w:cs="Calibri"/>
                <w:lang w:val="lt-LT"/>
              </w:rPr>
              <w:t>Pažymų, patvirtinančių VPĮ 46 straipsnyje nurodytų tiekėjo pašalinimo pagrindų nebuvimą, pateikti nereikalaujama. Jų perkančioji organizacija reikalaus tik turėdama pagrįstų abejonių dėl tiekėjo patikimumo.</w:t>
            </w:r>
            <w:bookmarkStart w:id="57" w:name="_Hlk90887843"/>
            <w:bookmarkEnd w:id="57"/>
          </w:p>
        </w:tc>
      </w:tr>
      <w:tr>
        <w:trPr/>
        <w:tc>
          <w:tcPr>
            <w:tcW w:w="522" w:type="dxa"/>
            <w:tcBorders>
              <w:top w:val="single" w:sz="4" w:space="0" w:color="000000"/>
              <w:left w:val="single" w:sz="4" w:space="0" w:color="000000"/>
              <w:bottom w:val="single" w:sz="4" w:space="0" w:color="000000"/>
              <w:right w:val="single" w:sz="4" w:space="0" w:color="000000"/>
            </w:tcBorders>
          </w:tcPr>
          <w:p>
            <w:pPr>
              <w:pStyle w:val="NoSpacing"/>
              <w:numPr>
                <w:ilvl w:val="0"/>
                <w:numId w:val="43"/>
              </w:numPr>
              <w:ind w:hanging="0" w:left="0"/>
              <w:rPr>
                <w:rFonts w:cs="Calibri"/>
                <w:b/>
                <w:bCs/>
                <w:lang w:val="lt-LT"/>
              </w:rPr>
            </w:pPr>
            <w:r>
              <w:rPr>
                <w:rFonts w:cs="Calibri"/>
                <w:b/>
                <w:bCs/>
                <w:lang w:val="lt-LT"/>
              </w:rPr>
            </w:r>
          </w:p>
        </w:tc>
        <w:tc>
          <w:tcPr>
            <w:tcW w:w="4640"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rPr>
              <w:t>Tiekėjas su kitais tiekėjais yra sudaręs susitarimų, kuriais siekiama iškreipti konkurenciją atliekamame pirkime, ir perkančioji organizacija dėl to turi įtikinamų duomenų.</w:t>
            </w:r>
          </w:p>
        </w:tc>
        <w:tc>
          <w:tcPr>
            <w:tcW w:w="2422"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eastAsia="Yu Mincho" w:cs="Calibri"/>
                <w:b/>
                <w:bCs/>
                <w:lang w:val="lt-LT"/>
              </w:rPr>
              <w:t>VPĮ 46 straipsnio 4 dalies 1 punktas</w:t>
            </w:r>
          </w:p>
          <w:p>
            <w:pPr>
              <w:pStyle w:val="NoSpacing"/>
              <w:jc w:val="both"/>
              <w:rPr>
                <w:rFonts w:eastAsia="Yu Mincho" w:cs="Calibri"/>
                <w:lang w:val="lt-LT"/>
              </w:rPr>
            </w:pPr>
            <w:r>
              <w:rPr>
                <w:rFonts w:eastAsia="Yu Mincho" w:cs="Calibri"/>
                <w:lang w:val="lt-LT"/>
              </w:rPr>
            </w:r>
          </w:p>
          <w:p>
            <w:pPr>
              <w:pStyle w:val="NoSpacing"/>
              <w:jc w:val="both"/>
              <w:rPr>
                <w:lang w:val="lt-LT"/>
              </w:rPr>
            </w:pPr>
            <w:r>
              <w:rPr>
                <w:rFonts w:eastAsia="Yu Mincho" w:cs="Calibri"/>
                <w:lang w:val="lt-LT"/>
              </w:rPr>
              <w:t>EBVPD III dalies C10 punktas</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eastAsia="en-US"/>
              </w:rPr>
              <w:t>Iš Lietuvoje įsteigtų subjektų įrodančių dokumentų nereikalaujama. Užtenka pateikto EBVPD.</w:t>
            </w:r>
          </w:p>
          <w:p>
            <w:pPr>
              <w:pStyle w:val="NoSpacing"/>
              <w:jc w:val="both"/>
              <w:rPr>
                <w:rFonts w:cs="Calibri"/>
                <w:b/>
                <w:bCs/>
                <w:iCs/>
                <w:lang w:val="lt-LT" w:eastAsia="en-US"/>
              </w:rPr>
            </w:pPr>
            <w:r>
              <w:rPr>
                <w:rFonts w:cs="Calibri"/>
                <w:b/>
                <w:bCs/>
                <w:iCs/>
                <w:lang w:val="lt-LT" w:eastAsia="en-US"/>
              </w:rPr>
            </w:r>
          </w:p>
        </w:tc>
      </w:tr>
      <w:tr>
        <w:trPr/>
        <w:tc>
          <w:tcPr>
            <w:tcW w:w="522" w:type="dxa"/>
            <w:tcBorders>
              <w:top w:val="single" w:sz="4" w:space="0" w:color="000000"/>
              <w:left w:val="single" w:sz="4" w:space="0" w:color="000000"/>
              <w:bottom w:val="single" w:sz="4" w:space="0" w:color="000000"/>
              <w:right w:val="single" w:sz="4" w:space="0" w:color="000000"/>
            </w:tcBorders>
          </w:tcPr>
          <w:p>
            <w:pPr>
              <w:pStyle w:val="NoSpacing"/>
              <w:numPr>
                <w:ilvl w:val="0"/>
                <w:numId w:val="44"/>
              </w:numPr>
              <w:ind w:hanging="0" w:left="0"/>
              <w:rPr>
                <w:rFonts w:cs="Calibri"/>
                <w:b/>
                <w:bCs/>
                <w:lang w:val="lt-LT"/>
              </w:rPr>
            </w:pPr>
            <w:r>
              <w:rPr>
                <w:rFonts w:cs="Calibri"/>
                <w:b/>
                <w:bCs/>
                <w:lang w:val="lt-LT"/>
              </w:rPr>
            </w:r>
          </w:p>
        </w:tc>
        <w:tc>
          <w:tcPr>
            <w:tcW w:w="4640"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rPr>
              <w:t>Tiekėjas pirkimo metu pateko į interesų konflikto situaciją, kaip apibrėžta VPĮ 21 straipsnyje, ir atitinkamos padėties negalima ištaisyti.</w:t>
            </w:r>
          </w:p>
          <w:p>
            <w:pPr>
              <w:pStyle w:val="NoSpacing"/>
              <w:jc w:val="both"/>
              <w:rPr>
                <w:lang w:val="lt-LT"/>
              </w:rPr>
            </w:pPr>
            <w:r>
              <w:rPr>
                <w:rFonts w:cs="Calibri"/>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22"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eastAsia="Yu Mincho" w:cs="Calibri"/>
                <w:b/>
                <w:bCs/>
                <w:lang w:val="lt-LT"/>
              </w:rPr>
              <w:t>VPĮ 46 straipsnio 4 dalies 2 punktas</w:t>
            </w:r>
          </w:p>
          <w:p>
            <w:pPr>
              <w:pStyle w:val="NoSpacing"/>
              <w:jc w:val="both"/>
              <w:rPr>
                <w:rFonts w:eastAsia="Yu Mincho" w:cs="Calibri"/>
                <w:lang w:val="lt-LT"/>
              </w:rPr>
            </w:pPr>
            <w:r>
              <w:rPr>
                <w:rFonts w:eastAsia="Yu Mincho" w:cs="Calibri"/>
                <w:lang w:val="lt-LT"/>
              </w:rPr>
            </w:r>
          </w:p>
          <w:p>
            <w:pPr>
              <w:pStyle w:val="NoSpacing"/>
              <w:jc w:val="both"/>
              <w:rPr>
                <w:lang w:val="lt-LT"/>
              </w:rPr>
            </w:pPr>
            <w:r>
              <w:rPr>
                <w:rFonts w:eastAsia="Yu Mincho" w:cs="Calibri"/>
                <w:lang w:val="lt-LT"/>
              </w:rPr>
              <w:t>EBVPD III dalies C12 punktas</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eastAsia="en-US"/>
              </w:rPr>
              <w:t>Iš Lietuvoje įsteigtų subjektų įrodančių dokumentų nereikalaujama. Užtenka pateikto EBVPD.</w:t>
            </w:r>
          </w:p>
          <w:p>
            <w:pPr>
              <w:pStyle w:val="NoSpacing"/>
              <w:jc w:val="both"/>
              <w:rPr>
                <w:rFonts w:cs="Calibri"/>
                <w:bCs/>
                <w:iCs/>
                <w:lang w:val="lt-LT" w:eastAsia="en-US"/>
              </w:rPr>
            </w:pPr>
            <w:r>
              <w:rPr>
                <w:rFonts w:cs="Calibri"/>
                <w:bCs/>
                <w:iCs/>
                <w:lang w:val="lt-LT" w:eastAsia="en-US"/>
              </w:rPr>
            </w:r>
          </w:p>
          <w:p>
            <w:pPr>
              <w:pStyle w:val="NoSpacing"/>
              <w:jc w:val="both"/>
              <w:rPr>
                <w:rFonts w:cs="Calibri"/>
                <w:b/>
                <w:bCs/>
                <w:iCs/>
                <w:lang w:val="lt-LT" w:eastAsia="en-US"/>
              </w:rPr>
            </w:pPr>
            <w:r>
              <w:rPr>
                <w:rFonts w:cs="Calibri"/>
                <w:b/>
                <w:bCs/>
                <w:iCs/>
                <w:lang w:val="lt-LT" w:eastAsia="en-US"/>
              </w:rPr>
            </w:r>
          </w:p>
        </w:tc>
      </w:tr>
      <w:tr>
        <w:trPr/>
        <w:tc>
          <w:tcPr>
            <w:tcW w:w="522" w:type="dxa"/>
            <w:tcBorders>
              <w:top w:val="single" w:sz="4" w:space="0" w:color="000000"/>
              <w:left w:val="single" w:sz="4" w:space="0" w:color="000000"/>
              <w:bottom w:val="single" w:sz="4" w:space="0" w:color="000000"/>
              <w:right w:val="single" w:sz="4" w:space="0" w:color="000000"/>
            </w:tcBorders>
          </w:tcPr>
          <w:p>
            <w:pPr>
              <w:pStyle w:val="NoSpacing"/>
              <w:numPr>
                <w:ilvl w:val="0"/>
                <w:numId w:val="45"/>
              </w:numPr>
              <w:ind w:hanging="0" w:left="0"/>
              <w:rPr>
                <w:rFonts w:cs="Calibri"/>
                <w:b/>
                <w:bCs/>
                <w:lang w:val="lt-LT"/>
              </w:rPr>
            </w:pPr>
            <w:r>
              <w:rPr>
                <w:rFonts w:cs="Calibri"/>
                <w:b/>
                <w:bCs/>
                <w:lang w:val="lt-LT"/>
              </w:rPr>
            </w:r>
          </w:p>
        </w:tc>
        <w:tc>
          <w:tcPr>
            <w:tcW w:w="4640"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rPr>
              <w:t>Pažeista konkurencija, kaip nustatyta VPĮ 27 straipsnio 3 ir 4 dalyse, ir atitinkamos padėties negalima ištaisyti.</w:t>
            </w:r>
          </w:p>
        </w:tc>
        <w:tc>
          <w:tcPr>
            <w:tcW w:w="2422"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eastAsia="Yu Mincho" w:cs="Calibri"/>
                <w:b/>
                <w:bCs/>
                <w:lang w:val="lt-LT"/>
              </w:rPr>
              <w:t>VPĮ 46 straipsnio 4 dalies 3 punktas</w:t>
            </w:r>
          </w:p>
          <w:p>
            <w:pPr>
              <w:pStyle w:val="NoSpacing"/>
              <w:jc w:val="both"/>
              <w:rPr>
                <w:rFonts w:eastAsia="Yu Mincho" w:cs="Calibri"/>
                <w:lang w:val="lt-LT"/>
              </w:rPr>
            </w:pPr>
            <w:r>
              <w:rPr>
                <w:rFonts w:eastAsia="Yu Mincho" w:cs="Calibri"/>
                <w:lang w:val="lt-LT"/>
              </w:rPr>
            </w:r>
          </w:p>
          <w:p>
            <w:pPr>
              <w:pStyle w:val="NoSpacing"/>
              <w:jc w:val="both"/>
              <w:rPr>
                <w:lang w:val="lt-LT"/>
              </w:rPr>
            </w:pPr>
            <w:r>
              <w:rPr>
                <w:rFonts w:eastAsia="Yu Mincho" w:cs="Calibri"/>
                <w:lang w:val="lt-LT"/>
              </w:rPr>
              <w:t>EBVPD III dalies C13 punktas</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eastAsia="en-US"/>
              </w:rPr>
              <w:t>Iš Lietuvoje įsteigtų subjektų įrodančių dokumentų nereikalaujama. Užtenka pateikto EBVPD.</w:t>
            </w:r>
          </w:p>
          <w:p>
            <w:pPr>
              <w:pStyle w:val="NoSpacing"/>
              <w:jc w:val="both"/>
              <w:rPr>
                <w:rFonts w:cs="Calibri"/>
                <w:b/>
                <w:bCs/>
                <w:iCs/>
                <w:lang w:val="lt-LT" w:eastAsia="en-US"/>
              </w:rPr>
            </w:pPr>
            <w:r>
              <w:rPr>
                <w:rFonts w:cs="Calibri"/>
                <w:b/>
                <w:bCs/>
                <w:iCs/>
                <w:lang w:val="lt-LT" w:eastAsia="en-US"/>
              </w:rPr>
            </w:r>
          </w:p>
        </w:tc>
      </w:tr>
      <w:tr>
        <w:trPr/>
        <w:tc>
          <w:tcPr>
            <w:tcW w:w="522" w:type="dxa"/>
            <w:tcBorders>
              <w:top w:val="single" w:sz="4" w:space="0" w:color="000000"/>
              <w:left w:val="single" w:sz="4" w:space="0" w:color="000000"/>
              <w:bottom w:val="single" w:sz="4" w:space="0" w:color="000000"/>
              <w:right w:val="single" w:sz="4" w:space="0" w:color="000000"/>
            </w:tcBorders>
          </w:tcPr>
          <w:p>
            <w:pPr>
              <w:pStyle w:val="NoSpacing"/>
              <w:numPr>
                <w:ilvl w:val="0"/>
                <w:numId w:val="46"/>
              </w:numPr>
              <w:ind w:hanging="0" w:left="0"/>
              <w:rPr>
                <w:rFonts w:cs="Calibri"/>
                <w:b/>
                <w:bCs/>
                <w:lang w:val="lt-LT"/>
              </w:rPr>
            </w:pPr>
            <w:r>
              <w:rPr>
                <w:rFonts w:cs="Calibri"/>
                <w:b/>
                <w:bCs/>
                <w:lang w:val="lt-LT"/>
              </w:rPr>
            </w:r>
          </w:p>
        </w:tc>
        <w:tc>
          <w:tcPr>
            <w:tcW w:w="4640"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lang w:val="lt-LT"/>
              </w:rPr>
            </w:pPr>
            <w:r>
              <w:rPr>
                <w:rFonts w:cs="Calibri"/>
                <w:bCs/>
                <w:lang w:val="lt-LT"/>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lang w:val="lt-LT"/>
              </w:rPr>
            </w:pPr>
            <w:r>
              <w:rPr>
                <w:rFonts w:cs="Calibri"/>
                <w:bCs/>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22"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eastAsia="Yu Mincho" w:cs="Calibri"/>
                <w:b/>
                <w:bCs/>
                <w:lang w:val="lt-LT"/>
              </w:rPr>
              <w:t>VPĮ 46 straipsnio 4 dalies 4 punktas</w:t>
            </w:r>
          </w:p>
          <w:p>
            <w:pPr>
              <w:pStyle w:val="NoSpacing"/>
              <w:jc w:val="both"/>
              <w:rPr>
                <w:rFonts w:eastAsia="Yu Mincho" w:cs="Calibri"/>
                <w:lang w:val="lt-LT"/>
              </w:rPr>
            </w:pPr>
            <w:r>
              <w:rPr>
                <w:rFonts w:eastAsia="Yu Mincho" w:cs="Calibri"/>
                <w:lang w:val="lt-LT"/>
              </w:rPr>
            </w:r>
          </w:p>
          <w:p>
            <w:pPr>
              <w:pStyle w:val="NoSpacing"/>
              <w:jc w:val="both"/>
              <w:rPr>
                <w:lang w:val="lt-LT"/>
              </w:rPr>
            </w:pPr>
            <w:r>
              <w:rPr>
                <w:rFonts w:eastAsia="Yu Mincho" w:cs="Calibri"/>
                <w:lang w:val="lt-LT"/>
              </w:rPr>
              <w:t>EBVPD III dalies C15 punktas</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eastAsia="en-US"/>
              </w:rPr>
              <w:t>Iš Lietuvoje įsteigtų subjektų įrodančių dokumentų nereikalaujama. Užtenka pateikto EBVPD.</w:t>
            </w:r>
          </w:p>
          <w:p>
            <w:pPr>
              <w:pStyle w:val="NoSpacing"/>
              <w:jc w:val="both"/>
              <w:rPr>
                <w:rFonts w:cs="Calibri"/>
                <w:bCs/>
                <w:iCs/>
                <w:lang w:val="lt-LT" w:eastAsia="en-US"/>
              </w:rPr>
            </w:pPr>
            <w:r>
              <w:rPr>
                <w:rFonts w:cs="Calibri"/>
                <w:bCs/>
                <w:iCs/>
                <w:lang w:val="lt-LT" w:eastAsia="en-US"/>
              </w:rPr>
            </w:r>
          </w:p>
          <w:p>
            <w:pPr>
              <w:pStyle w:val="NoSpacing"/>
              <w:jc w:val="both"/>
              <w:rPr>
                <w:rFonts w:cs="Calibri"/>
                <w:bCs/>
                <w:iCs/>
                <w:lang w:val="lt-LT" w:eastAsia="en-US"/>
              </w:rPr>
            </w:pPr>
            <w:r>
              <w:rPr>
                <w:rFonts w:cs="Calibri"/>
                <w:bCs/>
                <w:iCs/>
                <w:lang w:val="lt-LT" w:eastAsia="en-US"/>
              </w:rPr>
            </w:r>
          </w:p>
          <w:p>
            <w:pPr>
              <w:pStyle w:val="NoSpacing"/>
              <w:jc w:val="both"/>
              <w:rPr>
                <w:lang w:val="lt-LT"/>
              </w:rPr>
            </w:pPr>
            <w:r>
              <w:rPr>
                <w:rFonts w:cs="Calibri"/>
                <w:b/>
                <w:bCs/>
                <w:lang w:val="lt-LT"/>
              </w:rPr>
              <w:t>Priimant sprendimus dėl tiekėjo pašalinimo iš pirkimo procedūros šiame punkte nurodytu pašalinimo pagrindu, be kita ko, gali būti atsižvelgiama į pagal VPĮ 52 straipsnį skelbiamą informaciją:</w:t>
            </w:r>
          </w:p>
          <w:p>
            <w:pPr>
              <w:pStyle w:val="NoSpacing"/>
              <w:jc w:val="both"/>
              <w:rPr>
                <w:rFonts w:cs="Calibri"/>
                <w:b/>
                <w:bCs/>
                <w:lang w:val="lt-LT"/>
              </w:rPr>
            </w:pPr>
            <w:r>
              <w:rPr>
                <w:rFonts w:cs="Calibri"/>
                <w:b/>
                <w:bCs/>
                <w:lang w:val="lt-LT"/>
              </w:rPr>
            </w:r>
          </w:p>
          <w:p>
            <w:pPr>
              <w:pStyle w:val="NoSpacing"/>
              <w:jc w:val="both"/>
              <w:rPr/>
            </w:pPr>
            <w:hyperlink r:id="rId10">
              <w:r>
                <w:rPr>
                  <w:rFonts w:cs="Calibri"/>
                  <w:b/>
                  <w:bCs/>
                  <w:color w:val="000080"/>
                  <w:u w:val="single"/>
                  <w:lang w:val="lt-LT"/>
                </w:rPr>
                <w:t>https://vpt.lrv.lt/lt/nuorodos/kiti-duomenys/powerbi/melaginga-informacija-pateikusiu-tiekeju-sarasas-3/</w:t>
              </w:r>
            </w:hyperlink>
          </w:p>
          <w:p>
            <w:pPr>
              <w:pStyle w:val="NoSpacing"/>
              <w:jc w:val="both"/>
              <w:rPr>
                <w:rFonts w:cs="Calibri"/>
                <w:u w:val="single"/>
                <w:lang w:val="lt-LT"/>
              </w:rPr>
            </w:pPr>
            <w:r>
              <w:rPr>
                <w:rFonts w:cs="Calibri"/>
                <w:u w:val="single"/>
                <w:lang w:val="lt-LT"/>
              </w:rPr>
            </w:r>
          </w:p>
          <w:p>
            <w:pPr>
              <w:pStyle w:val="NoSpacing"/>
              <w:jc w:val="both"/>
              <w:rPr>
                <w:rFonts w:cs="Calibri"/>
                <w:b/>
                <w:bCs/>
                <w:lang w:val="lt-LT"/>
              </w:rPr>
            </w:pPr>
            <w:r>
              <w:rPr>
                <w:rFonts w:cs="Calibri"/>
                <w:b/>
                <w:bCs/>
                <w:lang w:val="lt-LT"/>
              </w:rPr>
            </w:r>
          </w:p>
        </w:tc>
      </w:tr>
      <w:tr>
        <w:trPr/>
        <w:tc>
          <w:tcPr>
            <w:tcW w:w="522" w:type="dxa"/>
            <w:tcBorders>
              <w:top w:val="single" w:sz="4" w:space="0" w:color="000000"/>
              <w:left w:val="single" w:sz="4" w:space="0" w:color="000000"/>
              <w:bottom w:val="single" w:sz="4" w:space="0" w:color="000000"/>
              <w:right w:val="single" w:sz="4" w:space="0" w:color="000000"/>
            </w:tcBorders>
          </w:tcPr>
          <w:p>
            <w:pPr>
              <w:pStyle w:val="NoSpacing"/>
              <w:numPr>
                <w:ilvl w:val="0"/>
                <w:numId w:val="47"/>
              </w:numPr>
              <w:ind w:hanging="0" w:left="0"/>
              <w:rPr>
                <w:rFonts w:cs="Calibri"/>
                <w:b/>
                <w:bCs/>
                <w:lang w:val="lt-LT"/>
              </w:rPr>
            </w:pPr>
            <w:r>
              <w:rPr>
                <w:rFonts w:cs="Calibri"/>
                <w:b/>
                <w:bCs/>
                <w:lang w:val="lt-LT"/>
              </w:rPr>
            </w:r>
          </w:p>
        </w:tc>
        <w:tc>
          <w:tcPr>
            <w:tcW w:w="4640"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22"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eastAsia="Yu Mincho" w:cs="Calibri"/>
                <w:b/>
                <w:bCs/>
                <w:lang w:val="lt-LT"/>
              </w:rPr>
              <w:t>VPĮ 46 straipsnio 4 dalies 5 punktas</w:t>
            </w:r>
          </w:p>
          <w:p>
            <w:pPr>
              <w:pStyle w:val="NoSpacing"/>
              <w:jc w:val="both"/>
              <w:rPr>
                <w:rFonts w:eastAsia="Yu Mincho" w:cs="Calibri"/>
                <w:lang w:val="lt-LT"/>
              </w:rPr>
            </w:pPr>
            <w:r>
              <w:rPr>
                <w:rFonts w:eastAsia="Yu Mincho" w:cs="Calibri"/>
                <w:lang w:val="lt-LT"/>
              </w:rPr>
            </w:r>
          </w:p>
          <w:p>
            <w:pPr>
              <w:pStyle w:val="NoSpacing"/>
              <w:jc w:val="both"/>
              <w:rPr>
                <w:lang w:val="lt-LT"/>
              </w:rPr>
            </w:pPr>
            <w:r>
              <w:rPr>
                <w:rFonts w:eastAsia="Yu Mincho" w:cs="Calibri"/>
                <w:lang w:val="lt-LT"/>
              </w:rPr>
              <w:t>EBVPD</w:t>
            </w:r>
            <w:r>
              <w:rPr>
                <w:rFonts w:eastAsia="Arial" w:cs="Calibri"/>
                <w:lang w:val="lt-LT"/>
              </w:rPr>
              <w:t xml:space="preserve"> III dalies C15 punktas</w:t>
            </w:r>
          </w:p>
          <w:p>
            <w:pPr>
              <w:pStyle w:val="NoSpacing"/>
              <w:jc w:val="both"/>
              <w:rPr>
                <w:rFonts w:eastAsia="Yu Mincho" w:cs="Calibri"/>
                <w:lang w:val="lt-LT" w:eastAsia="en-US"/>
              </w:rPr>
            </w:pPr>
            <w:r>
              <w:rPr>
                <w:rFonts w:eastAsia="Yu Mincho" w:cs="Calibri"/>
                <w:lang w:val="lt-LT" w:eastAsia="en-US"/>
              </w:rPr>
            </w:r>
          </w:p>
          <w:p>
            <w:pPr>
              <w:pStyle w:val="NoSpacing"/>
              <w:jc w:val="both"/>
              <w:rPr>
                <w:rFonts w:eastAsia="Yu Mincho" w:cs="Calibri"/>
                <w:lang w:val="lt-LT" w:eastAsia="en-US"/>
              </w:rPr>
            </w:pPr>
            <w:r>
              <w:rPr>
                <w:rFonts w:eastAsia="Yu Mincho" w:cs="Calibri"/>
                <w:lang w:val="lt-LT" w:eastAsia="en-US"/>
              </w:rPr>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eastAsia="en-US"/>
              </w:rPr>
              <w:t>Iš Lietuvoje įsteigtų subjektų įrodančių dokumentų nereikalaujama. Užtenka pateikto EBVPD.</w:t>
            </w:r>
          </w:p>
          <w:p>
            <w:pPr>
              <w:pStyle w:val="NoSpacing"/>
              <w:jc w:val="both"/>
              <w:rPr>
                <w:rFonts w:cs="Calibri"/>
                <w:b/>
                <w:bCs/>
                <w:iCs/>
                <w:lang w:val="lt-LT" w:eastAsia="en-US"/>
              </w:rPr>
            </w:pPr>
            <w:r>
              <w:rPr>
                <w:rFonts w:cs="Calibri"/>
                <w:b/>
                <w:bCs/>
                <w:iCs/>
                <w:lang w:val="lt-LT" w:eastAsia="en-US"/>
              </w:rPr>
            </w:r>
          </w:p>
        </w:tc>
      </w:tr>
      <w:tr>
        <w:trPr/>
        <w:tc>
          <w:tcPr>
            <w:tcW w:w="522" w:type="dxa"/>
            <w:tcBorders>
              <w:top w:val="single" w:sz="4" w:space="0" w:color="000000"/>
              <w:left w:val="single" w:sz="4" w:space="0" w:color="000000"/>
              <w:bottom w:val="single" w:sz="4" w:space="0" w:color="000000"/>
              <w:right w:val="single" w:sz="4" w:space="0" w:color="000000"/>
            </w:tcBorders>
          </w:tcPr>
          <w:p>
            <w:pPr>
              <w:pStyle w:val="NoSpacing"/>
              <w:numPr>
                <w:ilvl w:val="0"/>
                <w:numId w:val="48"/>
              </w:numPr>
              <w:ind w:hanging="0" w:left="0"/>
              <w:rPr>
                <w:rFonts w:cs="Calibri"/>
                <w:b/>
                <w:bCs/>
                <w:lang w:val="lt-LT"/>
              </w:rPr>
            </w:pPr>
            <w:r>
              <w:rPr>
                <w:rFonts w:cs="Calibri"/>
                <w:b/>
                <w:bCs/>
                <w:lang w:val="lt-LT"/>
              </w:rPr>
            </w:r>
          </w:p>
        </w:tc>
        <w:tc>
          <w:tcPr>
            <w:tcW w:w="464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cs="Calibri"/>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Standard"/>
              <w:spacing w:lineRule="auto" w:line="240" w:before="0" w:after="0"/>
              <w:jc w:val="both"/>
              <w:rPr>
                <w:lang w:val="lt-LT"/>
              </w:rPr>
            </w:pPr>
            <w:r>
              <w:rPr>
                <w:rFonts w:cs="Calibri"/>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22"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eastAsia="Yu Mincho" w:cs="Calibri"/>
                <w:b/>
                <w:bCs/>
                <w:lang w:val="lt-LT"/>
              </w:rPr>
              <w:t>VPĮ 46 straipsnio 4 dalies 6 punktas</w:t>
            </w:r>
          </w:p>
          <w:p>
            <w:pPr>
              <w:pStyle w:val="NoSpacing"/>
              <w:jc w:val="both"/>
              <w:rPr>
                <w:rFonts w:eastAsia="Yu Mincho" w:cs="Calibri"/>
                <w:lang w:val="lt-LT"/>
              </w:rPr>
            </w:pPr>
            <w:r>
              <w:rPr>
                <w:rFonts w:eastAsia="Yu Mincho" w:cs="Calibri"/>
                <w:lang w:val="lt-LT"/>
              </w:rPr>
            </w:r>
          </w:p>
          <w:p>
            <w:pPr>
              <w:pStyle w:val="NoSpacing"/>
              <w:jc w:val="both"/>
              <w:rPr>
                <w:lang w:val="lt-LT"/>
              </w:rPr>
            </w:pPr>
            <w:r>
              <w:rPr>
                <w:rFonts w:eastAsia="Yu Mincho" w:cs="Calibri"/>
                <w:lang w:val="lt-LT"/>
              </w:rPr>
              <w:t>EBVPD</w:t>
            </w:r>
            <w:r>
              <w:rPr>
                <w:rFonts w:eastAsia="Arial" w:cs="Calibri"/>
                <w:lang w:val="lt-LT"/>
              </w:rPr>
              <w:t xml:space="preserve"> III dalies C14 punktas</w:t>
            </w:r>
          </w:p>
          <w:p>
            <w:pPr>
              <w:pStyle w:val="NoSpacing"/>
              <w:jc w:val="both"/>
              <w:rPr>
                <w:rFonts w:eastAsia="Yu Mincho" w:cs="Calibri"/>
                <w:lang w:val="lt-LT" w:eastAsia="en-US"/>
              </w:rPr>
            </w:pPr>
            <w:r>
              <w:rPr>
                <w:rFonts w:eastAsia="Yu Mincho" w:cs="Calibri"/>
                <w:lang w:val="lt-LT" w:eastAsia="en-US"/>
              </w:rPr>
            </w:r>
          </w:p>
          <w:p>
            <w:pPr>
              <w:pStyle w:val="NoSpacing"/>
              <w:jc w:val="both"/>
              <w:rPr>
                <w:rFonts w:eastAsia="Yu Mincho" w:cs="Calibri"/>
                <w:lang w:val="lt-LT" w:eastAsia="en-US"/>
              </w:rPr>
            </w:pPr>
            <w:r>
              <w:rPr>
                <w:rFonts w:eastAsia="Yu Mincho" w:cs="Calibri"/>
                <w:lang w:val="lt-LT" w:eastAsia="en-US"/>
              </w:rPr>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eastAsia="en-US"/>
              </w:rPr>
              <w:t>Iš Lietuvoje įsteigtų subjektų įrodančių dokumentų nereikalaujama. Užtenka pateikto EBVPD.</w:t>
            </w:r>
          </w:p>
          <w:p>
            <w:pPr>
              <w:pStyle w:val="NoSpacing"/>
              <w:jc w:val="both"/>
              <w:rPr>
                <w:rFonts w:cs="Calibri"/>
                <w:bCs/>
                <w:iCs/>
                <w:lang w:val="lt-LT" w:eastAsia="en-US"/>
              </w:rPr>
            </w:pPr>
            <w:r>
              <w:rPr>
                <w:rFonts w:cs="Calibri"/>
                <w:bCs/>
                <w:iCs/>
                <w:lang w:val="lt-LT" w:eastAsia="en-US"/>
              </w:rPr>
            </w:r>
          </w:p>
          <w:p>
            <w:pPr>
              <w:pStyle w:val="NoSpacing"/>
              <w:jc w:val="both"/>
              <w:rPr>
                <w:lang w:val="lt-LT"/>
              </w:rPr>
            </w:pPr>
            <w:r>
              <w:rPr>
                <w:rFonts w:cs="Calibri"/>
                <w:b/>
                <w:bCs/>
                <w:lang w:val="lt-LT"/>
              </w:rPr>
              <w:t>Priimant sprendimus dėl tiekėjo pašalinimo iš pirkimo procedūros šiame punkte nurodytu pašalinimo pagrindu, gali būti atsižvelgiama į pagal VPĮ 91 straipsnį skelbiamą informaciją:</w:t>
            </w:r>
          </w:p>
          <w:p>
            <w:pPr>
              <w:pStyle w:val="NoSpacing"/>
              <w:jc w:val="both"/>
              <w:rPr>
                <w:rFonts w:cs="Calibri"/>
                <w:lang w:val="lt-LT"/>
              </w:rPr>
            </w:pPr>
            <w:r>
              <w:rPr>
                <w:rFonts w:cs="Calibri"/>
                <w:lang w:val="lt-LT"/>
              </w:rPr>
            </w:r>
          </w:p>
          <w:p>
            <w:pPr>
              <w:pStyle w:val="NoSpacing"/>
              <w:jc w:val="both"/>
              <w:rPr/>
            </w:pPr>
            <w:hyperlink r:id="rId11">
              <w:r>
                <w:rPr>
                  <w:rFonts w:cs="Calibri"/>
                  <w:b/>
                  <w:bCs/>
                  <w:color w:val="000080"/>
                  <w:u w:val="single"/>
                  <w:lang w:val="lt-LT"/>
                </w:rPr>
                <w:t>https://vpt.lrv.lt/lt/nuorodos/kiti-duomenys/powerbi/nepatikimi-tiekejai-1/</w:t>
              </w:r>
            </w:hyperlink>
          </w:p>
          <w:p>
            <w:pPr>
              <w:pStyle w:val="NoSpacing"/>
              <w:jc w:val="both"/>
              <w:rPr>
                <w:rFonts w:cs="Calibri"/>
                <w:lang w:val="lt-LT"/>
              </w:rPr>
            </w:pPr>
            <w:r>
              <w:rPr>
                <w:rFonts w:cs="Calibri"/>
                <w:lang w:val="lt-LT"/>
              </w:rPr>
            </w:r>
          </w:p>
          <w:p>
            <w:pPr>
              <w:pStyle w:val="NoSpacing"/>
              <w:jc w:val="both"/>
              <w:rPr/>
            </w:pPr>
            <w:hyperlink r:id="rId12">
              <w:r>
                <w:rPr>
                  <w:rFonts w:cs="Calibri"/>
                  <w:color w:val="000080"/>
                  <w:u w:val="single"/>
                  <w:lang w:val="lt-LT"/>
                </w:rPr>
                <w:t>https://vpt.lrv.lt/lt/pasalinimo-pagrindai-1/nepatikimu-koncesininku-sarasas-1/nepatikimu-koncesininku-sarasas</w:t>
              </w:r>
            </w:hyperlink>
          </w:p>
          <w:p>
            <w:pPr>
              <w:pStyle w:val="NoSpacing"/>
              <w:jc w:val="both"/>
              <w:rPr>
                <w:rFonts w:cs="Calibri"/>
                <w:bCs/>
                <w:lang w:val="lt-LT"/>
              </w:rPr>
            </w:pPr>
            <w:r>
              <w:rPr>
                <w:rFonts w:cs="Calibri"/>
                <w:bCs/>
                <w:lang w:val="lt-LT"/>
              </w:rPr>
            </w:r>
          </w:p>
          <w:p>
            <w:pPr>
              <w:pStyle w:val="NoSpacing"/>
              <w:jc w:val="both"/>
              <w:rPr>
                <w:rFonts w:cs="Calibri"/>
                <w:b/>
                <w:bCs/>
                <w:lang w:val="lt-LT"/>
              </w:rPr>
            </w:pPr>
            <w:r>
              <w:rPr>
                <w:rFonts w:cs="Calibri"/>
                <w:b/>
                <w:bCs/>
                <w:lang w:val="lt-LT"/>
              </w:rPr>
            </w:r>
          </w:p>
        </w:tc>
      </w:tr>
      <w:tr>
        <w:trPr/>
        <w:tc>
          <w:tcPr>
            <w:tcW w:w="522" w:type="dxa"/>
            <w:tcBorders>
              <w:top w:val="single" w:sz="4" w:space="0" w:color="000000"/>
              <w:left w:val="single" w:sz="4" w:space="0" w:color="000000"/>
              <w:bottom w:val="single" w:sz="4" w:space="0" w:color="000000"/>
              <w:right w:val="single" w:sz="4" w:space="0" w:color="000000"/>
            </w:tcBorders>
          </w:tcPr>
          <w:p>
            <w:pPr>
              <w:pStyle w:val="NoSpacing"/>
              <w:numPr>
                <w:ilvl w:val="0"/>
                <w:numId w:val="49"/>
              </w:numPr>
              <w:ind w:hanging="0" w:left="0"/>
              <w:rPr>
                <w:rFonts w:cs="Calibri"/>
                <w:lang w:val="lt-LT"/>
              </w:rPr>
            </w:pPr>
            <w:r>
              <w:rPr>
                <w:rFonts w:cs="Calibri"/>
                <w:lang w:val="lt-LT"/>
              </w:rPr>
            </w:r>
          </w:p>
          <w:p>
            <w:pPr>
              <w:pStyle w:val="NoSpacing"/>
              <w:rPr>
                <w:rFonts w:cs="Calibri"/>
                <w:lang w:val="lt-LT"/>
              </w:rPr>
            </w:pPr>
            <w:r>
              <w:rPr>
                <w:rFonts w:cs="Calibri"/>
                <w:lang w:val="lt-LT"/>
              </w:rPr>
            </w:r>
          </w:p>
        </w:tc>
        <w:tc>
          <w:tcPr>
            <w:tcW w:w="4640"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rPr>
              <w:t>Tiekėjas yra padaręs rimtą profesinį pažeidimą, dėl kurio perkančioji organizacija abejoja tiekėjo sąžiningumu, kai jis</w:t>
            </w:r>
            <w:bookmarkStart w:id="58" w:name="part_030e6c6c64ba4f96a23474e439d1b80c"/>
            <w:bookmarkEnd w:id="58"/>
            <w:r>
              <w:rPr>
                <w:rFonts w:cs="Calibri"/>
                <w:lang w:val="lt-LT"/>
              </w:rPr>
              <w:t xml:space="preserve"> yra padaręs finansinės atskaitomybės ir audito teisės aktų pažeidimą ir nuo jo padarymo dienos praėjo mažiau kaip vieni metai.</w:t>
            </w:r>
          </w:p>
          <w:p>
            <w:pPr>
              <w:pStyle w:val="Standard"/>
              <w:spacing w:lineRule="auto" w:line="240" w:before="0" w:after="0"/>
              <w:jc w:val="both"/>
              <w:rPr>
                <w:rFonts w:cs="Calibri"/>
                <w:b/>
                <w:lang w:val="lt-LT"/>
              </w:rPr>
            </w:pPr>
            <w:r>
              <w:rPr>
                <w:rFonts w:cs="Calibri"/>
                <w:b/>
                <w:lang w:val="lt-LT"/>
              </w:rPr>
            </w:r>
          </w:p>
        </w:tc>
        <w:tc>
          <w:tcPr>
            <w:tcW w:w="2422"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eastAsia="Yu Mincho" w:cs="Calibri"/>
                <w:b/>
                <w:bCs/>
                <w:lang w:val="lt-LT"/>
              </w:rPr>
              <w:t>VPĮ 46 straipsnio 4 dalies 7 punkto a papunktis</w:t>
            </w:r>
          </w:p>
          <w:p>
            <w:pPr>
              <w:pStyle w:val="NoSpacing"/>
              <w:jc w:val="both"/>
              <w:rPr>
                <w:rFonts w:eastAsia="Yu Mincho" w:cs="Calibri"/>
                <w:lang w:val="lt-LT"/>
              </w:rPr>
            </w:pPr>
            <w:r>
              <w:rPr>
                <w:rFonts w:eastAsia="Yu Mincho" w:cs="Calibri"/>
                <w:lang w:val="lt-LT"/>
              </w:rPr>
            </w:r>
          </w:p>
          <w:p>
            <w:pPr>
              <w:pStyle w:val="NoSpacing"/>
              <w:jc w:val="both"/>
              <w:rPr>
                <w:lang w:val="lt-LT"/>
              </w:rPr>
            </w:pPr>
            <w:r>
              <w:rPr>
                <w:rFonts w:eastAsia="Yu Mincho" w:cs="Calibri"/>
                <w:lang w:val="lt-LT"/>
              </w:rPr>
              <w:t>EBVPD III dalies C11 punktas</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pPr>
            <w:r>
              <w:rPr>
                <w:rFonts w:cs="Calibri"/>
                <w:lang w:val="lt-LT" w:eastAsia="en-US"/>
              </w:rPr>
              <w:t xml:space="preserve">Iš Lietuvoje įsteigtų subjektų įrodančių dokumentų nereikalaujama. Užtenka pateikto EBVPD. </w:t>
            </w:r>
            <w:r>
              <w:rPr>
                <w:rFonts w:cs="Calibri"/>
                <w:lang w:val="lt-LT"/>
              </w:rPr>
              <w:t>Priimant sprendimus dėl tiekėjo pašalinimo iš pirkimo procedūros šiame punkte nurodytu pašalinimo pagrindu, be kita ko, atsižvelgiama į</w:t>
            </w:r>
            <w:r>
              <w:rPr>
                <w:rFonts w:cs="Calibri"/>
                <w:b/>
                <w:bCs/>
                <w:lang w:val="lt-LT"/>
              </w:rPr>
              <w:t xml:space="preserve"> </w:t>
            </w:r>
            <w:r>
              <w:rPr>
                <w:rFonts w:cs="Calibri"/>
                <w:lang w:val="lt-LT"/>
              </w:rPr>
              <w:t xml:space="preserve">nacionalinėje duomenų bazėje adresu: </w:t>
            </w:r>
            <w:hyperlink r:id="rId13">
              <w:r>
                <w:rPr>
                  <w:rFonts w:cs="Calibri"/>
                  <w:color w:val="000080"/>
                  <w:u w:val="single"/>
                  <w:lang w:val="lt-LT"/>
                </w:rPr>
                <w:t>https://www.registrucentras.lt/jar/p/index.php</w:t>
              </w:r>
            </w:hyperlink>
          </w:p>
          <w:p>
            <w:pPr>
              <w:pStyle w:val="NoSpacing"/>
              <w:jc w:val="both"/>
              <w:rPr>
                <w:lang w:val="lt-LT"/>
              </w:rPr>
            </w:pPr>
            <w:r>
              <w:rPr>
                <w:rFonts w:cs="Calibri"/>
                <w:lang w:val="lt-LT"/>
              </w:rPr>
              <w:t>paskelbtą informaciją, taip pat į šiame informaciniame pranešime pateiktą informaciją:</w:t>
            </w:r>
          </w:p>
          <w:p>
            <w:pPr>
              <w:pStyle w:val="NoSpacing"/>
              <w:jc w:val="both"/>
              <w:rPr/>
            </w:pPr>
            <w:hyperlink r:id="rId14">
              <w:r>
                <w:rPr>
                  <w:b/>
                  <w:color w:val="000080"/>
                  <w:u w:val="single"/>
                  <w:lang w:val="lt-LT"/>
                </w:rPr>
                <w:t>https://vpt.lrv.lt/lt/naujienos-3/finansiniu-ataskaitu-nepateikimas-gali-tapti-kliutimi-dalyvauti-viesuosiuose-pirkimuose/</w:t>
              </w:r>
            </w:hyperlink>
          </w:p>
        </w:tc>
      </w:tr>
      <w:tr>
        <w:trPr/>
        <w:tc>
          <w:tcPr>
            <w:tcW w:w="522" w:type="dxa"/>
            <w:tcBorders>
              <w:top w:val="single" w:sz="4" w:space="0" w:color="000000"/>
              <w:left w:val="single" w:sz="4" w:space="0" w:color="000000"/>
              <w:bottom w:val="single" w:sz="4" w:space="0" w:color="000000"/>
              <w:right w:val="single" w:sz="4" w:space="0" w:color="000000"/>
            </w:tcBorders>
          </w:tcPr>
          <w:p>
            <w:pPr>
              <w:pStyle w:val="NoSpacing"/>
              <w:numPr>
                <w:ilvl w:val="0"/>
                <w:numId w:val="50"/>
              </w:numPr>
              <w:ind w:hanging="0" w:left="0"/>
              <w:rPr>
                <w:rFonts w:cs="Calibri"/>
                <w:lang w:val="lt-LT"/>
              </w:rPr>
            </w:pPr>
            <w:r>
              <w:rPr>
                <w:rFonts w:cs="Calibri"/>
                <w:lang w:val="lt-LT"/>
              </w:rPr>
            </w:r>
          </w:p>
        </w:tc>
        <w:tc>
          <w:tcPr>
            <w:tcW w:w="4640"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rPr>
              <w:t xml:space="preserve">Tiekėjas yra padaręs rimtą profesinį pažeidimą, dėl kurio perkančioji organizacija abejoja tiekėjo sąžiningumu, </w:t>
            </w:r>
            <w:r>
              <w:rPr>
                <w:rFonts w:eastAsia="Times New Roman" w:cs="Calibri"/>
                <w:lang w:val="lt-LT"/>
              </w:rPr>
              <w:t xml:space="preserve"> kai jis (tiekėjas) neatitinka minimalių patikimo mokesčių mokėtojo kriterijų, nustatytų Lietuvos Respublikos mokesčių administravimo įstatymo 40</w:t>
            </w:r>
            <w:r>
              <w:rPr>
                <w:rFonts w:eastAsia="Times New Roman" w:cs="Calibri"/>
                <w:vertAlign w:val="superscript"/>
                <w:lang w:val="lt-LT"/>
              </w:rPr>
              <w:t>1</w:t>
            </w:r>
            <w:r>
              <w:rPr>
                <w:rFonts w:eastAsia="Times New Roman" w:cs="Calibri"/>
                <w:lang w:val="lt-LT"/>
              </w:rPr>
              <w:t xml:space="preserve"> straipsnio 1 dalyje.</w:t>
            </w:r>
          </w:p>
        </w:tc>
        <w:tc>
          <w:tcPr>
            <w:tcW w:w="2422"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eastAsia="Yu Mincho" w:cs="Calibri"/>
                <w:b/>
                <w:bCs/>
                <w:lang w:val="lt-LT"/>
              </w:rPr>
              <w:t>VPĮ 46 straipsnio 4 dalies 7 punkto b papunktis</w:t>
            </w:r>
          </w:p>
          <w:p>
            <w:pPr>
              <w:pStyle w:val="NoSpacing"/>
              <w:jc w:val="both"/>
              <w:rPr>
                <w:rFonts w:eastAsia="Yu Mincho" w:cs="Calibri"/>
                <w:lang w:val="lt-LT"/>
              </w:rPr>
            </w:pPr>
            <w:r>
              <w:rPr>
                <w:rFonts w:eastAsia="Yu Mincho" w:cs="Calibri"/>
                <w:lang w:val="lt-LT"/>
              </w:rPr>
            </w:r>
          </w:p>
          <w:p>
            <w:pPr>
              <w:pStyle w:val="NoSpacing"/>
              <w:jc w:val="both"/>
              <w:rPr>
                <w:lang w:val="lt-LT"/>
              </w:rPr>
            </w:pPr>
            <w:r>
              <w:rPr>
                <w:rFonts w:eastAsia="Yu Mincho" w:cs="Calibri"/>
                <w:lang w:val="lt-LT"/>
              </w:rPr>
              <w:t>EBVPD III dalies C11 punktas</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eastAsia="en-US"/>
              </w:rPr>
              <w:t>Iš Lietuvoje įsteigtų subjektų įrodančių dokumentų nereikalaujama. Užtenka pateikto EBVPD.</w:t>
            </w:r>
          </w:p>
          <w:p>
            <w:pPr>
              <w:pStyle w:val="NoSpacing"/>
              <w:jc w:val="both"/>
              <w:rPr>
                <w:rFonts w:cs="Calibri"/>
                <w:b/>
                <w:bCs/>
                <w:iCs/>
                <w:lang w:val="lt-LT" w:eastAsia="en-US"/>
              </w:rPr>
            </w:pPr>
            <w:r>
              <w:rPr>
                <w:rFonts w:cs="Calibri"/>
                <w:b/>
                <w:bCs/>
                <w:iCs/>
                <w:lang w:val="lt-LT" w:eastAsia="en-US"/>
              </w:rPr>
            </w:r>
          </w:p>
          <w:p>
            <w:pPr>
              <w:pStyle w:val="NoSpacing"/>
              <w:jc w:val="both"/>
              <w:rPr/>
            </w:pPr>
            <w:r>
              <w:rPr>
                <w:rFonts w:cs="Calibri"/>
                <w:lang w:val="lt-LT"/>
              </w:rPr>
              <w:t>Priimant sprendimus dėl tiekėjo pašalinimo iš pirkimo procedūros šiame punkte nurodytu pašalinimo pagrindu, be kita ko, atsižvelgiama į</w:t>
            </w:r>
            <w:r>
              <w:rPr>
                <w:rFonts w:cs="Calibri"/>
                <w:b/>
                <w:bCs/>
                <w:lang w:val="lt-LT"/>
              </w:rPr>
              <w:t xml:space="preserve"> </w:t>
            </w:r>
            <w:r>
              <w:rPr>
                <w:rFonts w:cs="Calibri"/>
                <w:lang w:val="lt-LT"/>
              </w:rPr>
              <w:t xml:space="preserve">nacionalinėje duomenų bazėje adresu </w:t>
            </w:r>
            <w:hyperlink r:id="rId15">
              <w:r>
                <w:rPr>
                  <w:rFonts w:cs="Calibri"/>
                  <w:color w:val="000080"/>
                  <w:u w:val="single"/>
                  <w:lang w:val="lt-LT"/>
                </w:rPr>
                <w:t>https://www.vmi.lt/evmi/mokesciu-moketoju-informacija</w:t>
              </w:r>
            </w:hyperlink>
            <w:r>
              <w:rPr>
                <w:rFonts w:cs="Calibri"/>
                <w:lang w:val="lt-LT"/>
              </w:rPr>
              <w:t xml:space="preserve"> skelbiamą informaciją.</w:t>
            </w:r>
          </w:p>
        </w:tc>
      </w:tr>
      <w:tr>
        <w:trPr/>
        <w:tc>
          <w:tcPr>
            <w:tcW w:w="522" w:type="dxa"/>
            <w:tcBorders>
              <w:top w:val="single" w:sz="4" w:space="0" w:color="000000"/>
              <w:left w:val="single" w:sz="4" w:space="0" w:color="000000"/>
              <w:bottom w:val="single" w:sz="4" w:space="0" w:color="000000"/>
              <w:right w:val="single" w:sz="4" w:space="0" w:color="000000"/>
            </w:tcBorders>
          </w:tcPr>
          <w:p>
            <w:pPr>
              <w:pStyle w:val="NoSpacing"/>
              <w:numPr>
                <w:ilvl w:val="0"/>
                <w:numId w:val="51"/>
              </w:numPr>
              <w:ind w:hanging="0" w:left="0"/>
              <w:rPr>
                <w:rFonts w:cs="Calibri"/>
                <w:lang w:val="lt-LT"/>
              </w:rPr>
            </w:pPr>
            <w:r>
              <w:rPr>
                <w:rFonts w:cs="Calibri"/>
                <w:lang w:val="lt-LT"/>
              </w:rPr>
            </w:r>
          </w:p>
        </w:tc>
        <w:tc>
          <w:tcPr>
            <w:tcW w:w="4640"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rPr>
              <w:t>Tiekėjas yra padaręs rimtą profesinį pažeidimą, dėl kurio perkančioji organizacija abejoja tiekėjo sąžiningumu,</w:t>
            </w:r>
            <w:r>
              <w:rPr>
                <w:rFonts w:eastAsia="Times New Roman" w:cs="Calibri"/>
                <w:lang w:val="lt-LT"/>
              </w:rPr>
              <w:t xml:space="preserve"> kai jis </w:t>
            </w:r>
            <w:r>
              <w:rPr>
                <w:rFonts w:cs="Calibri"/>
                <w:color w:val="000000"/>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422"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eastAsia="Yu Mincho" w:cs="Calibri"/>
                <w:b/>
                <w:bCs/>
                <w:lang w:val="lt-LT"/>
              </w:rPr>
              <w:t>VPĮ 46 straipsnio 4 dalies 7 punkto c papunktis</w:t>
            </w:r>
          </w:p>
          <w:p>
            <w:pPr>
              <w:pStyle w:val="NoSpacing"/>
              <w:jc w:val="both"/>
              <w:rPr>
                <w:rFonts w:eastAsia="Yu Mincho" w:cs="Calibri"/>
                <w:lang w:val="lt-LT"/>
              </w:rPr>
            </w:pPr>
            <w:r>
              <w:rPr>
                <w:rFonts w:eastAsia="Yu Mincho" w:cs="Calibri"/>
                <w:lang w:val="lt-LT"/>
              </w:rPr>
            </w:r>
          </w:p>
          <w:p>
            <w:pPr>
              <w:pStyle w:val="NoSpacing"/>
              <w:jc w:val="both"/>
              <w:rPr>
                <w:lang w:val="lt-LT"/>
              </w:rPr>
            </w:pPr>
            <w:r>
              <w:rPr>
                <w:rFonts w:eastAsia="Yu Mincho" w:cs="Calibri"/>
                <w:lang w:val="lt-LT"/>
              </w:rPr>
              <w:t>EBVPD III dalies C11 punktas</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lang w:val="lt-LT"/>
              </w:rPr>
            </w:pPr>
            <w:r>
              <w:rPr>
                <w:rFonts w:cs="Calibri"/>
                <w:lang w:val="lt-LT" w:eastAsia="en-US"/>
              </w:rPr>
              <w:t>Iš Lietuvoje įsteigtų subjektų įrodančių dokumentų nereikalaujama. Užtenka pateikto EBVPD.</w:t>
            </w:r>
          </w:p>
          <w:p>
            <w:pPr>
              <w:pStyle w:val="NoSpacing"/>
              <w:jc w:val="both"/>
              <w:rPr>
                <w:rFonts w:cs="Calibri"/>
                <w:bCs/>
                <w:iCs/>
                <w:lang w:val="lt-LT" w:eastAsia="en-US"/>
              </w:rPr>
            </w:pPr>
            <w:r>
              <w:rPr>
                <w:rFonts w:cs="Calibri"/>
                <w:bCs/>
                <w:iCs/>
                <w:lang w:val="lt-LT" w:eastAsia="en-US"/>
              </w:rPr>
            </w:r>
          </w:p>
          <w:p>
            <w:pPr>
              <w:pStyle w:val="Standard"/>
              <w:spacing w:lineRule="auto" w:line="240" w:before="0" w:after="0"/>
              <w:rPr>
                <w:lang w:val="lt-LT"/>
              </w:rPr>
            </w:pPr>
            <w:r>
              <w:rPr>
                <w:rFonts w:cs="Calibri"/>
                <w:b/>
                <w:bCs/>
                <w:lang w:val="lt-LT"/>
              </w:rPr>
              <w:t>Priimant sprendimus dėl tiekėjo pašalinimo iš pirkimo procedūros šiame punkte nurodytu pašalinimo pagrindu, be kita ko, atsižvelgiama į nacionalinėje duomenų bazėje adresu:</w:t>
            </w:r>
          </w:p>
          <w:p>
            <w:pPr>
              <w:pStyle w:val="Standard"/>
              <w:spacing w:lineRule="auto" w:line="240" w:before="0" w:after="0"/>
              <w:rPr/>
            </w:pPr>
            <w:hyperlink r:id="rId16">
              <w:r>
                <w:rPr>
                  <w:rFonts w:cs="Calibri"/>
                  <w:color w:val="000080"/>
                  <w:u w:val="single"/>
                  <w:lang w:val="lt-LT"/>
                </w:rPr>
                <w:t>https://kt.gov.lt/lt/atviri-duomenys/diskvalifikavimas-is-viesuju-pirkimu</w:t>
              </w:r>
            </w:hyperlink>
            <w:r>
              <w:rPr>
                <w:rFonts w:cs="Calibri"/>
                <w:lang w:val="lt-LT"/>
              </w:rPr>
              <w:t xml:space="preserve"> skelbiamą informaciją.</w:t>
            </w:r>
            <w:bookmarkStart w:id="59" w:name="_Hlk181188449"/>
            <w:bookmarkEnd w:id="59"/>
          </w:p>
        </w:tc>
      </w:tr>
    </w:tbl>
    <w:p>
      <w:pPr>
        <w:pStyle w:val="Standard"/>
        <w:jc w:val="center"/>
        <w:rPr>
          <w:rFonts w:cs="Calibri"/>
          <w:smallCaps/>
          <w:sz w:val="22"/>
          <w:szCs w:val="22"/>
          <w:lang w:val="lt-LT"/>
        </w:rPr>
      </w:pPr>
      <w:r>
        <w:rPr>
          <w:rFonts w:cs="Calibri"/>
          <w:smallCaps/>
          <w:sz w:val="22"/>
          <w:szCs w:val="22"/>
          <w:lang w:val="lt-LT"/>
        </w:rPr>
      </w:r>
    </w:p>
    <w:p>
      <w:pPr>
        <w:pStyle w:val="Standard"/>
        <w:jc w:val="center"/>
        <w:rPr>
          <w:lang w:val="lt-LT"/>
        </w:rPr>
      </w:pPr>
      <w:r>
        <w:rPr>
          <w:rFonts w:cs="Calibri"/>
          <w:smallCaps/>
          <w:sz w:val="22"/>
          <w:szCs w:val="22"/>
          <w:lang w:val="lt-LT"/>
        </w:rPr>
        <w:t>__________</w:t>
      </w:r>
      <w:r>
        <w:br w:type="page"/>
      </w:r>
    </w:p>
    <w:p>
      <w:pPr>
        <w:pStyle w:val="Heading2"/>
        <w:spacing w:before="0" w:after="0"/>
        <w:ind w:left="5670"/>
        <w:rPr>
          <w:lang w:val="lt-LT"/>
        </w:rPr>
      </w:pPr>
      <w:bookmarkStart w:id="60" w:name="_Ref38291334"/>
      <w:bookmarkStart w:id="61" w:name="_Ref38291223"/>
      <w:bookmarkStart w:id="62" w:name="_Toc170854177"/>
      <w:bookmarkStart w:id="63" w:name="_Ref38533412"/>
      <w:r>
        <w:rPr>
          <w:rFonts w:eastAsia="Calibri" w:cs="Calibri" w:ascii="Calibri" w:hAnsi="Calibri"/>
          <w:color w:val="0070C0"/>
          <w:sz w:val="21"/>
          <w:szCs w:val="21"/>
          <w:lang w:val="lt-LT"/>
        </w:rPr>
        <w:t>Pirkimo sąlygų 4 priedas „Tiekėjų kvalifikacijos reikalavimai ir reikalaujami kokybės bei aplinkos apsaugos vadybos sistemų standartai“</w:t>
      </w:r>
      <w:bookmarkEnd w:id="60"/>
      <w:bookmarkEnd w:id="61"/>
      <w:bookmarkEnd w:id="62"/>
      <w:bookmarkEnd w:id="63"/>
    </w:p>
    <w:p>
      <w:pPr>
        <w:pStyle w:val="Standard"/>
        <w:rPr>
          <w:rFonts w:cs="Calibri"/>
          <w:b/>
          <w:bCs/>
          <w:smallCaps/>
          <w:sz w:val="22"/>
          <w:szCs w:val="22"/>
          <w:lang w:val="lt-LT"/>
        </w:rPr>
      </w:pPr>
      <w:r>
        <w:rPr>
          <w:rFonts w:cs="Calibri"/>
          <w:b/>
          <w:bCs/>
          <w:smallCaps/>
          <w:sz w:val="22"/>
          <w:szCs w:val="22"/>
          <w:lang w:val="lt-LT"/>
        </w:rPr>
      </w:r>
    </w:p>
    <w:p>
      <w:pPr>
        <w:pStyle w:val="Subtitle"/>
        <w:spacing w:lineRule="auto" w:line="240"/>
        <w:jc w:val="center"/>
        <w:rPr>
          <w:lang w:val="lt-LT"/>
        </w:rPr>
      </w:pPr>
      <w:r>
        <w:rPr>
          <w:smallCaps/>
          <w:lang w:val="lt-LT"/>
        </w:rPr>
        <w:t xml:space="preserve">TIEKĖJŲ KVALIFIKACIJOS REIKALAVIMAI IR REIKALAVIMAI LAIKYTIS </w:t>
      </w:r>
      <w:r>
        <w:rPr>
          <w:lang w:val="lt-LT" w:eastAsia="en-US"/>
        </w:rPr>
        <w:t>KOKYBĖS VADYBOS SISTEMOS IR (ARBA) APLINKOS APSAUGOS VADYBOS SISTEMOS STANDARTŲ</w:t>
      </w:r>
    </w:p>
    <w:p>
      <w:pPr>
        <w:pStyle w:val="ListParagraph"/>
        <w:spacing w:lineRule="auto" w:line="240" w:before="0" w:after="0"/>
        <w:ind w:firstLine="567" w:left="0"/>
        <w:jc w:val="both"/>
        <w:rPr>
          <w:lang w:val="lt-LT"/>
        </w:rPr>
      </w:pPr>
      <w:r>
        <w:rPr>
          <w:rFonts w:eastAsia="Calibri" w:cs="Calibri"/>
          <w:lang w:val="lt-LT" w:eastAsia="en-US"/>
        </w:rPr>
        <w:t>1. Tiekėjo kvalifikacija turi atitikti šiame priede nustatytus reikalavimus kvalifikacijai.</w:t>
      </w:r>
    </w:p>
    <w:p>
      <w:pPr>
        <w:pStyle w:val="ListParagraph"/>
        <w:spacing w:lineRule="auto" w:line="240" w:before="0" w:after="0"/>
        <w:ind w:firstLine="567" w:left="0"/>
        <w:jc w:val="both"/>
        <w:rPr>
          <w:lang w:val="lt-LT"/>
        </w:rPr>
      </w:pPr>
      <w:r>
        <w:rPr>
          <w:rFonts w:eastAsia="Calibri" w:cs="Calibri"/>
          <w:lang w:val="lt-LT"/>
        </w:rPr>
        <w:t xml:space="preserve">2. </w:t>
      </w:r>
      <w:r>
        <w:rPr>
          <w:rFonts w:eastAsia="Calibri" w:cs="Calibri"/>
          <w:lang w:val="lt-LT" w:eastAsia="en-US"/>
        </w:rPr>
        <w:t>Jeigu tiekėjo kvalifikacija dėl teisės verstis atitinkama veikla nėra tikrinama visa apimtimi, tiekėjas perkančiajai organizacijai įsipareigoja, kad sutartį vykdys tik teisę verstis atitinkama veikla turintys asmenys.</w:t>
      </w:r>
    </w:p>
    <w:p>
      <w:pPr>
        <w:pStyle w:val="ListParagraph"/>
        <w:spacing w:lineRule="auto" w:line="240" w:before="0" w:after="0"/>
        <w:ind w:firstLine="567" w:left="0"/>
        <w:jc w:val="both"/>
        <w:rPr>
          <w:lang w:val="lt-LT"/>
        </w:rPr>
      </w:pPr>
      <w:r>
        <w:rPr>
          <w:rFonts w:eastAsia="Calibri" w:cs="Calibri"/>
          <w:lang w:val="lt-LT" w:eastAsia="en-US"/>
        </w:rPr>
        <w:t>3.</w:t>
      </w:r>
      <w:r>
        <w:rPr>
          <w:rFonts w:eastAsia="Calibri" w:cs="Calibri"/>
          <w:i/>
          <w:iCs/>
          <w:lang w:val="lt-LT"/>
        </w:rPr>
        <w:t xml:space="preserve"> </w:t>
      </w:r>
      <w:r>
        <w:rPr>
          <w:rFonts w:cs="Calibri"/>
          <w:lang w:val="lt-LT"/>
        </w:rPr>
        <w:t>Tiekėjas gali pasitelkti pirkimo sutarčiai įvykdyti kitus subrangovus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subrangovai turi būti nurodyti pasiūlymo formoje. Tiekėjas įsipareigoja, kad pirkimo sutartį vykdys tik tokią teisę turintys fiziniai ir/ar juridiniai asmenys.</w:t>
      </w:r>
    </w:p>
    <w:p>
      <w:pPr>
        <w:pStyle w:val="ListParagraph"/>
        <w:spacing w:lineRule="auto" w:line="240" w:before="0" w:after="0"/>
        <w:ind w:firstLine="567" w:left="0"/>
        <w:jc w:val="both"/>
        <w:rPr>
          <w:lang w:val="lt-LT"/>
        </w:rPr>
      </w:pPr>
      <w:r>
        <w:rPr>
          <w:rFonts w:cs="Calibri"/>
          <w:lang w:val="lt-LT"/>
        </w:rPr>
        <w:t>4. Jeigu tiekėjas pasiūlyme nurodo specialistą (fizinį asmenį) (pasiūlymo formoje),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w:t>
      </w:r>
      <w:r>
        <w:rPr>
          <w:lang w:val="lt-LT"/>
        </w:rPr>
        <w:t xml:space="preserve"> el. parašu pasirašytas dokumentas</w:t>
      </w:r>
      <w:r>
        <w:rPr>
          <w:rFonts w:cs="Calibri"/>
          <w:lang w:val="lt-LT"/>
        </w:rPr>
        <w:t>),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ListParagraph"/>
        <w:spacing w:lineRule="auto" w:line="240" w:before="0" w:after="0"/>
        <w:ind w:firstLine="567" w:left="0"/>
        <w:jc w:val="both"/>
        <w:rPr>
          <w:lang w:val="lt-LT"/>
        </w:rPr>
      </w:pPr>
      <w:r>
        <w:rPr>
          <w:rFonts w:cs="Calibri"/>
          <w:lang w:val="lt-LT"/>
        </w:rPr>
        <w:t>5. Perkančioji organizacija dokumentų, patvirtinančių tiekėjo atitiktį kvalifikacijos reikalavimams (išskyrus kartu su pasiūlymu reikalaujamus pateikti dokumentus) ir aplinkos apsaugos vadybos sistemos standartams, reikalaus tik iš ekonomiškai naudingiausią pasiūlymą pateikusio dalyvio.</w:t>
      </w:r>
    </w:p>
    <w:p>
      <w:pPr>
        <w:pStyle w:val="ListParagraph"/>
        <w:spacing w:lineRule="auto" w:line="240" w:before="0" w:after="0"/>
        <w:ind w:firstLine="567" w:left="0"/>
        <w:jc w:val="both"/>
        <w:rPr>
          <w:rFonts w:eastAsia="Calibri" w:cs="Calibri"/>
          <w:lang w:val="lt-LT" w:eastAsia="en-US"/>
        </w:rPr>
      </w:pPr>
      <w:r>
        <w:rPr>
          <w:rFonts w:eastAsia="Calibri" w:cs="Calibri"/>
          <w:lang w:val="lt-LT" w:eastAsia="en-US"/>
        </w:rPr>
      </w:r>
    </w:p>
    <w:p>
      <w:pPr>
        <w:pStyle w:val="Standard"/>
        <w:spacing w:lineRule="auto" w:line="247" w:before="60" w:after="60"/>
        <w:jc w:val="center"/>
        <w:rPr>
          <w:lang w:val="lt-LT"/>
        </w:rPr>
      </w:pPr>
      <w:r>
        <w:rPr>
          <w:rFonts w:eastAsia="Calibri" w:cs="Calibri"/>
          <w:b/>
          <w:bCs/>
          <w:lang w:val="lt-LT"/>
        </w:rPr>
        <w:t>Tiekėjų kvalifikacijos reikalavimai</w:t>
      </w:r>
    </w:p>
    <w:tbl>
      <w:tblPr>
        <w:tblW w:w="10031" w:type="dxa"/>
        <w:jc w:val="left"/>
        <w:tblInd w:w="118" w:type="dxa"/>
        <w:tblLayout w:type="fixed"/>
        <w:tblCellMar>
          <w:top w:w="0" w:type="dxa"/>
          <w:left w:w="108" w:type="dxa"/>
          <w:bottom w:w="0" w:type="dxa"/>
          <w:right w:w="108" w:type="dxa"/>
        </w:tblCellMar>
        <w:tblLook w:firstRow="1" w:noVBand="1" w:lastRow="0" w:firstColumn="1" w:lastColumn="0" w:noHBand="0" w:val="04a0"/>
      </w:tblPr>
      <w:tblGrid>
        <w:gridCol w:w="545"/>
        <w:gridCol w:w="3530"/>
        <w:gridCol w:w="3231"/>
        <w:gridCol w:w="2724"/>
      </w:tblGrid>
      <w:tr>
        <w:trPr/>
        <w:tc>
          <w:tcPr>
            <w:tcW w:w="545"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spacing w:lineRule="auto" w:line="240" w:before="0" w:after="0"/>
              <w:jc w:val="center"/>
              <w:rPr>
                <w:lang w:val="lt-LT"/>
              </w:rPr>
            </w:pPr>
            <w:r>
              <w:rPr>
                <w:rFonts w:eastAsia="Calibri" w:cs="Calibri"/>
                <w:b/>
                <w:bCs/>
                <w:lang w:val="lt-LT" w:eastAsia="en-US"/>
              </w:rPr>
              <w:t>Eil. Nr.</w:t>
            </w:r>
          </w:p>
        </w:tc>
        <w:tc>
          <w:tcPr>
            <w:tcW w:w="3530"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spacing w:lineRule="auto" w:line="240" w:before="0" w:after="0"/>
              <w:jc w:val="center"/>
              <w:rPr>
                <w:lang w:val="lt-LT"/>
              </w:rPr>
            </w:pPr>
            <w:r>
              <w:rPr>
                <w:rFonts w:eastAsia="Calibri" w:cs="Calibri"/>
                <w:b/>
                <w:bCs/>
                <w:lang w:val="lt-LT" w:eastAsia="en-US"/>
              </w:rPr>
              <w:t>Kvalifikacijos reikalavimas</w:t>
            </w:r>
          </w:p>
        </w:tc>
        <w:tc>
          <w:tcPr>
            <w:tcW w:w="3231"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Western"/>
              <w:spacing w:lineRule="auto" w:line="240" w:before="0" w:after="0"/>
              <w:ind w:hanging="0"/>
              <w:jc w:val="center"/>
              <w:rPr>
                <w:lang w:val="lt-LT"/>
              </w:rPr>
            </w:pPr>
            <w:r>
              <w:rPr>
                <w:rFonts w:cs="Calibri" w:ascii="Calibri" w:hAnsi="Calibri"/>
                <w:b/>
                <w:bCs/>
                <w:color w:val="000000"/>
                <w:sz w:val="21"/>
                <w:szCs w:val="21"/>
                <w:lang w:val="lt-LT" w:eastAsia="en-US"/>
              </w:rPr>
              <w:t>Atitiktį reikalavimui įrodantys dokumentai</w:t>
            </w:r>
          </w:p>
        </w:tc>
        <w:tc>
          <w:tcPr>
            <w:tcW w:w="2724"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Western"/>
              <w:spacing w:lineRule="auto" w:line="240" w:before="0" w:after="0"/>
              <w:ind w:hanging="0"/>
              <w:jc w:val="center"/>
              <w:rPr>
                <w:lang w:val="lt-LT"/>
              </w:rPr>
            </w:pPr>
            <w:r>
              <w:rPr>
                <w:rFonts w:cs="Calibri" w:ascii="Calibri" w:hAnsi="Calibri"/>
                <w:b/>
                <w:bCs/>
                <w:color w:val="000000"/>
                <w:sz w:val="21"/>
                <w:szCs w:val="21"/>
                <w:lang w:val="lt-LT" w:eastAsia="en-US"/>
              </w:rPr>
              <w:t>Subjektas, kuris turi atitikti reikalavimą</w:t>
            </w:r>
          </w:p>
        </w:tc>
      </w:tr>
      <w:tr>
        <w:trPr/>
        <w:tc>
          <w:tcPr>
            <w:tcW w:w="545"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center"/>
              <w:rPr>
                <w:lang w:val="lt-LT"/>
              </w:rPr>
            </w:pPr>
            <w:r>
              <w:rPr>
                <w:rFonts w:eastAsia="Calibri" w:cs="Calibri"/>
                <w:b/>
                <w:bCs/>
                <w:lang w:val="lt-LT" w:eastAsia="en-US"/>
              </w:rPr>
              <w:t>1.</w:t>
            </w:r>
          </w:p>
        </w:tc>
        <w:tc>
          <w:tcPr>
            <w:tcW w:w="9485" w:type="dxa"/>
            <w:gridSpan w:val="3"/>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rPr>
                <w:lang w:val="lt-LT"/>
              </w:rPr>
            </w:pPr>
            <w:r>
              <w:rPr>
                <w:rFonts w:eastAsia="Calibri" w:cs="Calibri"/>
                <w:b/>
                <w:bCs/>
                <w:lang w:val="lt-LT" w:eastAsia="en-US"/>
              </w:rPr>
              <w:t>Teisė verstis veikla</w:t>
            </w:r>
          </w:p>
        </w:tc>
      </w:tr>
      <w:tr>
        <w:trPr/>
        <w:tc>
          <w:tcPr>
            <w:tcW w:w="545"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center"/>
              <w:rPr>
                <w:lang w:val="lt-LT"/>
              </w:rPr>
            </w:pPr>
            <w:r>
              <w:rPr>
                <w:rFonts w:eastAsia="Calibri" w:cs="Calibri"/>
                <w:bCs/>
                <w:lang w:val="lt-LT" w:eastAsia="en-US"/>
              </w:rPr>
              <w:t>1.1.</w:t>
            </w:r>
          </w:p>
        </w:tc>
        <w:tc>
          <w:tcPr>
            <w:tcW w:w="353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eastAsia="Calibri" w:cs="Calibri"/>
                <w:bCs/>
                <w:lang w:val="lt-LT" w:eastAsia="en-US"/>
              </w:rPr>
              <w:t>Tiekėjas turi teisę verstis statybos veikla*, kuri reikalinga pirkimo sutarčiai įvykdyti.</w:t>
            </w:r>
          </w:p>
          <w:p>
            <w:pPr>
              <w:pStyle w:val="Standard"/>
              <w:spacing w:lineRule="auto" w:line="240" w:before="0" w:after="0"/>
              <w:jc w:val="both"/>
              <w:rPr>
                <w:lang w:val="lt-LT"/>
              </w:rPr>
            </w:pPr>
            <w:r>
              <w:rPr>
                <w:rFonts w:eastAsia="Calibri" w:cs="Calibri"/>
                <w:bCs/>
                <w:lang w:val="lt-LT" w:eastAsia="en-US"/>
              </w:rPr>
              <w:t>Statinio grupė: negyvenamieji pastatai;</w:t>
            </w:r>
          </w:p>
          <w:p>
            <w:pPr>
              <w:pStyle w:val="Standard"/>
              <w:spacing w:lineRule="auto" w:line="240" w:before="0" w:after="0"/>
              <w:jc w:val="both"/>
              <w:rPr>
                <w:lang w:val="lt-LT"/>
              </w:rPr>
            </w:pPr>
            <w:r>
              <w:rPr>
                <w:rFonts w:eastAsia="Calibri" w:cs="Calibri"/>
                <w:bCs/>
                <w:lang w:val="lt-LT" w:eastAsia="en-US"/>
              </w:rPr>
              <w:t>Statinio paskirtis: visuomeninės paskirties.</w:t>
            </w:r>
          </w:p>
          <w:p>
            <w:pPr>
              <w:pStyle w:val="Standard"/>
              <w:spacing w:lineRule="auto" w:line="240" w:before="0" w:after="0"/>
              <w:jc w:val="both"/>
              <w:rPr>
                <w:lang w:val="lt-LT"/>
              </w:rPr>
            </w:pPr>
            <w:r>
              <w:rPr>
                <w:rFonts w:eastAsia="Calibri" w:cs="Calibri"/>
                <w:bCs/>
                <w:lang w:val="lt-LT" w:eastAsia="en-US"/>
              </w:rPr>
              <w:t>Statinių kategorija: ypatingi statiniai. Darbų sritys:</w:t>
            </w:r>
          </w:p>
          <w:p>
            <w:pPr>
              <w:pStyle w:val="BodyText"/>
              <w:widowControl/>
              <w:spacing w:before="0" w:after="0"/>
              <w:ind w:hanging="0" w:left="0" w:right="0"/>
              <w:jc w:val="both"/>
              <w:rPr>
                <w:highlight w:val="none"/>
                <w:shd w:fill="auto" w:val="clear"/>
              </w:rPr>
            </w:pPr>
            <w:r>
              <w:rPr>
                <w:rFonts w:ascii="Times New Roman" w:hAnsi="Times New Roman"/>
                <w:b/>
                <w:bCs/>
                <w:sz w:val="24"/>
                <w:szCs w:val="24"/>
                <w:shd w:fill="auto" w:val="clear"/>
              </w:rPr>
              <w:t>bendrieji statybos darbai</w:t>
            </w:r>
            <w:r>
              <w:rPr>
                <w:rFonts w:ascii="Times New Roman" w:hAnsi="Times New Roman"/>
                <w:sz w:val="24"/>
                <w:szCs w:val="24"/>
                <w:shd w:fill="auto" w:val="clear"/>
              </w:rPr>
              <w:t xml:space="preserve">: </w:t>
            </w:r>
            <w:r>
              <w:rPr>
                <w:rFonts w:ascii="Times New Roman" w:hAnsi="Times New Roman"/>
                <w:sz w:val="24"/>
                <w:szCs w:val="24"/>
                <w:u w:val="single"/>
                <w:shd w:fill="auto" w:val="clear"/>
              </w:rPr>
              <w:t>žemės darbai</w:t>
            </w:r>
            <w:r>
              <w:rPr>
                <w:rFonts w:ascii="Times New Roman" w:hAnsi="Times New Roman"/>
                <w:sz w:val="24"/>
                <w:szCs w:val="24"/>
                <w:shd w:fill="auto" w:val="clear"/>
              </w:rPr>
              <w:t xml:space="preserve"> (statybos sklypo reljefo tvarkymas, pamatų duobių, iškasų,tranšėjų kasimas ir užpylimas; kasimo ir užpylimo darbai sausinimo sistemoms įrengti);</w:t>
            </w:r>
            <w:r>
              <w:rPr>
                <w:rFonts w:eastAsia="Times New Roman" w:cs="Times New Roman" w:ascii="Times New Roman" w:hAnsi="Times New Roman"/>
                <w:b w:val="false"/>
                <w:bCs w:val="false"/>
                <w:i w:val="false"/>
                <w:iCs w:val="false"/>
                <w:caps w:val="false"/>
                <w:smallCaps w:val="false"/>
                <w:color w:val="000000"/>
                <w:spacing w:val="0"/>
                <w:sz w:val="24"/>
                <w:szCs w:val="24"/>
                <w:shd w:fill="auto" w:val="clear"/>
              </w:rPr>
              <w:t xml:space="preserve"> </w:t>
            </w:r>
            <w:r>
              <w:rPr>
                <w:rFonts w:eastAsia="Times New Roman" w:cs="Times New Roman" w:ascii="Times New Roman" w:hAnsi="Times New Roman"/>
                <w:b w:val="false"/>
                <w:bCs w:val="false"/>
                <w:i w:val="false"/>
                <w:iCs w:val="false"/>
                <w:caps w:val="false"/>
                <w:smallCaps w:val="false"/>
                <w:color w:val="000000"/>
                <w:spacing w:val="0"/>
                <w:sz w:val="24"/>
                <w:szCs w:val="24"/>
                <w:u w:val="single"/>
                <w:shd w:fill="auto" w:val="clear"/>
              </w:rPr>
              <w:t>statybinių konstrukcijų</w:t>
            </w:r>
            <w:r>
              <w:rPr>
                <w:rFonts w:eastAsia="Times New Roman" w:cs="Times New Roman" w:ascii="Times New Roman" w:hAnsi="Times New Roman"/>
                <w:b w:val="false"/>
                <w:bCs w:val="false"/>
                <w:i w:val="false"/>
                <w:iCs w:val="false"/>
                <w:caps w:val="false"/>
                <w:smallCaps w:val="false"/>
                <w:color w:val="000000"/>
                <w:spacing w:val="0"/>
                <w:sz w:val="24"/>
                <w:szCs w:val="24"/>
                <w:shd w:fill="auto" w:val="clear"/>
              </w:rPr>
              <w:t xml:space="preserve"> (gelžbetonio, betono, metalo, mūro) </w:t>
            </w:r>
            <w:r>
              <w:rPr>
                <w:rFonts w:eastAsia="Times New Roman" w:cs="Times New Roman" w:ascii="Times New Roman" w:hAnsi="Times New Roman"/>
                <w:b w:val="false"/>
                <w:bCs w:val="false"/>
                <w:i w:val="false"/>
                <w:iCs w:val="false"/>
                <w:caps w:val="false"/>
                <w:smallCaps w:val="false"/>
                <w:color w:val="000000"/>
                <w:spacing w:val="0"/>
                <w:sz w:val="24"/>
                <w:szCs w:val="24"/>
                <w:u w:val="single"/>
                <w:shd w:fill="auto" w:val="clear"/>
              </w:rPr>
              <w:t>statyba ir montavimas;</w:t>
            </w:r>
            <w:r>
              <w:rPr>
                <w:rFonts w:eastAsia="Times New Roman" w:cs="Times New Roman" w:ascii="Times New Roman" w:hAnsi="Times New Roman"/>
                <w:b w:val="false"/>
                <w:bCs w:val="false"/>
                <w:i w:val="false"/>
                <w:iCs w:val="false"/>
                <w:caps w:val="false"/>
                <w:smallCaps w:val="false"/>
                <w:color w:val="000000"/>
                <w:spacing w:val="0"/>
                <w:sz w:val="24"/>
                <w:szCs w:val="24"/>
                <w:shd w:fill="auto" w:val="clear"/>
              </w:rPr>
              <w:t xml:space="preserve"> </w:t>
            </w:r>
            <w:r>
              <w:rPr>
                <w:rFonts w:eastAsia="Times New Roman" w:cs="Times New Roman" w:ascii="Times New Roman" w:hAnsi="Times New Roman"/>
                <w:b w:val="false"/>
                <w:bCs w:val="false"/>
                <w:i w:val="false"/>
                <w:iCs w:val="false"/>
                <w:caps w:val="false"/>
                <w:smallCaps w:val="false"/>
                <w:color w:val="000000"/>
                <w:spacing w:val="0"/>
                <w:sz w:val="24"/>
                <w:szCs w:val="24"/>
                <w:u w:val="single"/>
                <w:shd w:fill="auto" w:val="clear"/>
              </w:rPr>
              <w:t xml:space="preserve">hidroizoliacija; stogų įrengimas; apdailos darbai </w:t>
            </w:r>
            <w:r>
              <w:rPr>
                <w:rFonts w:eastAsia="Times New Roman" w:cs="Times New Roman" w:ascii="Times New Roman" w:hAnsi="Times New Roman"/>
                <w:b w:val="false"/>
                <w:bCs w:val="false"/>
                <w:i w:val="false"/>
                <w:iCs w:val="false"/>
                <w:caps w:val="false"/>
                <w:smallCaps w:val="false"/>
                <w:color w:val="000000"/>
                <w:spacing w:val="0"/>
                <w:sz w:val="24"/>
                <w:szCs w:val="24"/>
                <w:u w:val="none"/>
                <w:shd w:fill="auto" w:val="clear"/>
              </w:rPr>
              <w:t>(grindų įrengimas, galutinis grindų</w:t>
            </w:r>
            <w:r>
              <w:rPr>
                <w:rFonts w:eastAsia="Times New Roman" w:cs="Times New Roman" w:ascii="Times New Roman" w:hAnsi="Times New Roman"/>
                <w:b w:val="false"/>
                <w:bCs w:val="false"/>
                <w:i w:val="false"/>
                <w:iCs w:val="false"/>
                <w:caps w:val="false"/>
                <w:smallCaps w:val="false"/>
                <w:color w:val="000000"/>
                <w:spacing w:val="0"/>
                <w:sz w:val="24"/>
                <w:szCs w:val="24"/>
                <w:shd w:fill="auto" w:val="clear"/>
              </w:rPr>
              <w:t xml:space="preserve"> dangų įrengimas, langų ir durų blokų montavimas, tinkavimas, dažymas,</w:t>
            </w:r>
            <w:r>
              <w:rPr>
                <w:rFonts w:eastAsia="Times New Roman" w:cs="Times New Roman" w:ascii="Times New Roman" w:hAnsi="Times New Roman"/>
                <w:b w:val="false"/>
                <w:bCs w:val="false"/>
                <w:i w:val="false"/>
                <w:iCs w:val="false"/>
                <w:caps w:val="false"/>
                <w:smallCaps w:val="false"/>
                <w:color w:val="000000"/>
                <w:spacing w:val="0"/>
                <w:sz w:val="24"/>
                <w:szCs w:val="24"/>
                <w:shd w:fill="auto" w:val="clear"/>
                <w:lang w:val="en-US"/>
              </w:rPr>
              <w:t xml:space="preserve"> </w:t>
            </w:r>
            <w:r>
              <w:rPr>
                <w:rFonts w:eastAsia="Times New Roman" w:cs="Times New Roman" w:ascii="Times New Roman" w:hAnsi="Times New Roman"/>
                <w:b w:val="false"/>
                <w:bCs w:val="false"/>
                <w:i w:val="false"/>
                <w:iCs w:val="false"/>
                <w:caps w:val="false"/>
                <w:smallCaps w:val="false"/>
                <w:color w:val="000000"/>
                <w:spacing w:val="0"/>
                <w:sz w:val="24"/>
                <w:szCs w:val="24"/>
                <w:shd w:fill="auto" w:val="clear"/>
              </w:rPr>
              <w:t xml:space="preserve">paviršių apdaila plytelėmis, fasadų, pertvarų, lubų, grindų įrengimas iš plokščių, atitvarų apšiltinimas, technologinių vamzdynų dažymas.). </w:t>
            </w:r>
            <w:r>
              <w:rPr>
                <w:rFonts w:eastAsia="Times New Roman" w:cs="Times New Roman" w:ascii="Times New Roman" w:hAnsi="Times New Roman"/>
                <w:b/>
                <w:bCs/>
                <w:i w:val="false"/>
                <w:iCs w:val="false"/>
                <w:caps w:val="false"/>
                <w:smallCaps w:val="false"/>
                <w:color w:val="000000"/>
                <w:spacing w:val="0"/>
                <w:sz w:val="24"/>
                <w:szCs w:val="24"/>
                <w:shd w:fill="auto" w:val="clear"/>
              </w:rPr>
              <w:t>Specialieji statybos</w:t>
            </w:r>
            <w:r>
              <w:rPr>
                <w:rFonts w:eastAsia="Times New Roman" w:cs="Times New Roman" w:ascii="Times New Roman" w:hAnsi="Times New Roman"/>
                <w:b w:val="false"/>
                <w:bCs w:val="false"/>
                <w:i w:val="false"/>
                <w:iCs w:val="false"/>
                <w:caps w:val="false"/>
                <w:smallCaps w:val="false"/>
                <w:color w:val="000000"/>
                <w:spacing w:val="0"/>
                <w:sz w:val="24"/>
                <w:szCs w:val="24"/>
                <w:shd w:fill="auto" w:val="clear"/>
              </w:rPr>
              <w:t xml:space="preserve"> </w:t>
            </w:r>
            <w:r>
              <w:rPr>
                <w:rFonts w:eastAsia="Times New Roman" w:cs="Times New Roman" w:ascii="Times New Roman" w:hAnsi="Times New Roman"/>
                <w:b/>
                <w:bCs/>
                <w:i w:val="false"/>
                <w:iCs w:val="false"/>
                <w:caps w:val="false"/>
                <w:smallCaps w:val="false"/>
                <w:color w:val="000000"/>
                <w:spacing w:val="0"/>
                <w:sz w:val="24"/>
                <w:szCs w:val="24"/>
                <w:shd w:fill="auto" w:val="clear"/>
              </w:rPr>
              <w:t>darbai</w:t>
            </w:r>
            <w:r>
              <w:rPr>
                <w:rFonts w:eastAsia="Times New Roman" w:cs="Times New Roman" w:ascii="Times New Roman" w:hAnsi="Times New Roman"/>
                <w:b w:val="false"/>
                <w:bCs w:val="false"/>
                <w:i w:val="false"/>
                <w:iCs w:val="false"/>
                <w:caps w:val="false"/>
                <w:smallCaps w:val="false"/>
                <w:color w:val="000000"/>
                <w:spacing w:val="0"/>
                <w:sz w:val="24"/>
                <w:szCs w:val="24"/>
                <w:shd w:fill="auto" w:val="clear"/>
              </w:rPr>
              <w:t xml:space="preserve">: </w:t>
            </w:r>
            <w:r>
              <w:rPr>
                <w:rFonts w:ascii="Times New Roman" w:hAnsi="Times New Roman"/>
                <w:sz w:val="24"/>
                <w:szCs w:val="24"/>
                <w:u w:val="single"/>
                <w:shd w:fill="auto" w:val="clear"/>
              </w:rPr>
              <w:t>mechanikos darbai</w:t>
            </w:r>
            <w:r>
              <w:rPr>
                <w:rFonts w:ascii="Times New Roman" w:hAnsi="Times New Roman"/>
                <w:sz w:val="24"/>
                <w:szCs w:val="24"/>
                <w:shd w:fill="auto" w:val="clear"/>
              </w:rPr>
              <w:t xml:space="preserve"> (vandentiekio ir nuotekų šalinimo tinklų tiesimas; statinio vandentiekio ir nuotekų šalinimo inžinerinių sistemų įrengimas; statinio šildymo, vėdinimo, oro kondicionavimo inžinerinių sistemų įrengimas; šildymo inžinerinių sistemų įrengimas; statinių vidaus gaisrinio vandentiekio sistemų įrengimas); </w:t>
            </w:r>
            <w:r>
              <w:rPr>
                <w:rFonts w:eastAsia="Times New Roman" w:cs="Times New Roman" w:ascii="Times New Roman" w:hAnsi="Times New Roman"/>
                <w:b w:val="false"/>
                <w:bCs w:val="false"/>
                <w:i w:val="false"/>
                <w:iCs w:val="false"/>
                <w:caps w:val="false"/>
                <w:smallCaps w:val="false"/>
                <w:color w:val="000000"/>
                <w:spacing w:val="0"/>
                <w:sz w:val="24"/>
                <w:szCs w:val="24"/>
                <w:u w:val="single"/>
                <w:shd w:fill="auto" w:val="clear"/>
              </w:rPr>
              <w:t xml:space="preserve">elektrotechnikos darbai </w:t>
            </w:r>
            <w:r>
              <w:rPr>
                <w:rFonts w:eastAsia="Times New Roman" w:cs="Times New Roman" w:ascii="Times New Roman" w:hAnsi="Times New Roman"/>
                <w:b w:val="false"/>
                <w:bCs w:val="false"/>
                <w:i w:val="false"/>
                <w:iCs w:val="false"/>
                <w:caps w:val="false"/>
                <w:smallCaps w:val="false"/>
                <w:color w:val="000000"/>
                <w:spacing w:val="0"/>
                <w:sz w:val="24"/>
                <w:szCs w:val="24"/>
                <w:shd w:fill="auto" w:val="clear"/>
              </w:rPr>
              <w:t>(statinio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pPr>
              <w:pStyle w:val="Standard"/>
              <w:spacing w:lineRule="auto" w:line="240" w:before="0" w:after="0"/>
              <w:jc w:val="both"/>
              <w:rPr>
                <w:lang w:val="lt-LT"/>
              </w:rPr>
            </w:pPr>
            <w:r>
              <w:rPr>
                <w:rFonts w:eastAsia="Calibri" w:cs="Calibri"/>
                <w:bCs/>
                <w:lang w:val="lt-LT" w:eastAsia="en-US"/>
              </w:rPr>
              <w:t>*Teisinis pagrindas reikalauti teisės vertis atitinkama veikla – Kvalifikacijos reikalavimas nustatytas vadovaujantis Lietuvos Respublikos Statybos įstatymo 18 straipsnio 1 ir 2 dalimis.</w:t>
            </w:r>
          </w:p>
        </w:tc>
        <w:tc>
          <w:tcPr>
            <w:tcW w:w="3231" w:type="dxa"/>
            <w:tcBorders>
              <w:top w:val="single" w:sz="4" w:space="0" w:color="000000"/>
              <w:left w:val="single" w:sz="4" w:space="0" w:color="000000"/>
              <w:bottom w:val="single" w:sz="4" w:space="0" w:color="000000"/>
              <w:right w:val="single" w:sz="4" w:space="0" w:color="000000"/>
            </w:tcBorders>
          </w:tcPr>
          <w:p>
            <w:pPr>
              <w:pStyle w:val="Textbody"/>
              <w:spacing w:lineRule="auto" w:line="240" w:before="0" w:after="0"/>
              <w:ind w:hanging="0"/>
              <w:rPr>
                <w:lang w:val="lt-LT"/>
              </w:rPr>
            </w:pPr>
            <w:r>
              <w:rPr>
                <w:rFonts w:eastAsia="Calibri" w:cs="Calibri"/>
                <w:bCs/>
                <w:szCs w:val="21"/>
                <w:lang w:val="lt-LT" w:eastAsia="en-US"/>
              </w:rPr>
              <w:t xml:space="preserve">Lietuvos Respublikos aplinkos ministerijos arba jos įgaliotos institucijos išduotas atestatas (dokumento pateikti nereikalaujama: tiekėjo prašoma nurodyti atestato numerį, o Perkančioji organizacija patikrins duomenis atitinkamuose Statybos sektoriaus vystymo agentūros Statybos veiklos įmonių kvalifikacijos atestatų ir (arba) teisės pripažinimo dokumentų registruose (http://www.ssva.lt/registrai)). </w:t>
            </w:r>
            <w:r>
              <w:rPr>
                <w:color w:val="000000"/>
                <w:szCs w:val="21"/>
                <w:lang w:val="lt-LT"/>
              </w:rPr>
              <w:t xml:space="preserve"> Lietuvos Respublikoje ir trečiosiose valstybėse</w:t>
            </w:r>
            <w:r>
              <w:rPr>
                <w:szCs w:val="21"/>
                <w:lang w:val="lt-LT"/>
              </w:rPr>
              <w:t xml:space="preserve"> įsteigti juridiniai asmenys, </w:t>
            </w:r>
            <w:r>
              <w:rPr>
                <w:color w:val="000000"/>
                <w:szCs w:val="21"/>
                <w:lang w:val="lt-LT"/>
              </w:rPr>
              <w:t>kitos organizacijos ar jų padaliniai</w:t>
            </w:r>
            <w:r>
              <w:rPr>
                <w:szCs w:val="21"/>
                <w:lang w:val="lt-LT"/>
              </w:rPr>
              <w:t xml:space="preserve"> turi gauti kvalifikacijos atestatą.</w:t>
            </w:r>
          </w:p>
          <w:p>
            <w:pPr>
              <w:pStyle w:val="Textbody"/>
              <w:spacing w:lineRule="auto" w:line="240" w:before="0" w:after="0"/>
              <w:ind w:hanging="0"/>
              <w:rPr>
                <w:lang w:val="lt-LT"/>
              </w:rPr>
            </w:pPr>
            <w:r>
              <w:rPr>
                <w:szCs w:val="21"/>
                <w:lang w:val="lt-LT"/>
              </w:rPr>
              <w:t>Turi būti pateikiami: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pPr>
              <w:pStyle w:val="Standard"/>
              <w:spacing w:lineRule="auto" w:line="240" w:before="0" w:after="0"/>
              <w:jc w:val="both"/>
              <w:rPr>
                <w:lang w:val="lt-LT"/>
              </w:rPr>
            </w:pPr>
            <w:r>
              <w:rPr>
                <w:color w:val="000000"/>
                <w:lang w:val="lt-LT"/>
              </w:rPr>
              <w:t>Europos Sąjungos valstybių narių, Šveicarijos Konfederacijos arba valstybių, pasirašiusių Europos ekonominės erdvės sutartį, juridiniai asmenys, kitos užsienio organizacijos ir jų padaliniai, kurie nori Lietuvos Respublikoje būti ypatingojo statinio statybos rangovu, turi gauti teisės pripažinimo dokumentą.</w:t>
            </w:r>
          </w:p>
          <w:p>
            <w:pPr>
              <w:pStyle w:val="Standard"/>
              <w:spacing w:lineRule="auto" w:line="240" w:before="0" w:after="0"/>
              <w:jc w:val="both"/>
              <w:rPr>
                <w:lang w:val="lt-LT"/>
              </w:rPr>
            </w:pPr>
            <w:r>
              <w:rPr>
                <w:color w:val="000000"/>
                <w:lang w:val="lt-LT"/>
              </w:rPr>
              <w:t>Atestavimą ir teisės pripažinimą atlieka viešoji įstaiga Statybos sektoriaus vystymo agentūra</w:t>
            </w:r>
            <w:r>
              <w:rPr>
                <w:lang w:val="lt-LT"/>
              </w:rPr>
              <w:t>.</w:t>
            </w:r>
          </w:p>
          <w:p>
            <w:pPr>
              <w:pStyle w:val="Textbody"/>
              <w:spacing w:lineRule="auto" w:line="240" w:before="0" w:after="0"/>
              <w:ind w:hanging="0"/>
              <w:rPr>
                <w:lang w:val="lt-LT"/>
              </w:rPr>
            </w:pPr>
            <w:r>
              <w:rPr>
                <w:rFonts w:eastAsia="Calibri" w:cs="Calibri"/>
                <w:bCs/>
                <w:szCs w:val="21"/>
                <w:lang w:val="lt-LT" w:eastAsia="en-US"/>
              </w:rPr>
              <w:t>Užsienio tiekėjo (</w:t>
            </w:r>
            <w:r>
              <w:rPr>
                <w:color w:val="000000"/>
                <w:szCs w:val="21"/>
                <w:lang w:val="lt-LT"/>
              </w:rPr>
              <w:t>Europos Sąjungos valstybių narių, Šveicarijos Konfederacijos arba valstybių, pasirašiusių Europos ekonominės erdvės sutartį, juridiniai asmenys, kitos užsienio organizacijos ir jų padaliniai)</w:t>
            </w:r>
            <w:r>
              <w:rPr>
                <w:rFonts w:eastAsia="Calibri" w:cs="Calibri"/>
                <w:bCs/>
                <w:szCs w:val="21"/>
                <w:lang w:val="lt-LT" w:eastAsia="en-US"/>
              </w:rPr>
              <w:t xml:space="preserve"> turimos kvalifikacijos patvirtinimo dokumentai Lietuvoje gali būti išduoti ir po galutinės pasiūlymų pateikimo datos iki pirkimo sutarties sudarymo, o pa</w:t>
            </w:r>
            <w:r>
              <w:rPr>
                <w:szCs w:val="21"/>
                <w:lang w:val="lt-LT"/>
              </w:rPr>
              <w:t>čią teisę būti ypatingo statinio statybos rangovu tiekėjas kilmės šalyje turi būti įgijęs iki pasiūlymų pateikimo termino pabaigos ir perkančiajai organizacijai  pateikti teisės pripažinimo dokumentą. Su pasiūlymu taip pat turi būti pateiktas teisės pripažinimo dokumentas arba prašymas, patvirtinantys kreipimąsi dėl teisės pripažinimo dokumento išdavimo.</w:t>
            </w:r>
          </w:p>
        </w:tc>
        <w:tc>
          <w:tcPr>
            <w:tcW w:w="2724" w:type="dxa"/>
            <w:tcBorders>
              <w:top w:val="single" w:sz="4" w:space="0" w:color="000000"/>
              <w:left w:val="single" w:sz="4" w:space="0" w:color="000000"/>
              <w:bottom w:val="single" w:sz="4" w:space="0" w:color="000000"/>
              <w:right w:val="single" w:sz="4" w:space="0" w:color="000000"/>
            </w:tcBorders>
          </w:tcPr>
          <w:p>
            <w:pPr>
              <w:pStyle w:val="Textbody"/>
              <w:spacing w:lineRule="auto" w:line="240" w:before="0" w:after="0"/>
              <w:ind w:hanging="0"/>
              <w:rPr>
                <w:lang w:val="lt-LT"/>
              </w:rPr>
            </w:pPr>
            <w:r>
              <w:rPr>
                <w:rFonts w:eastAsia="Calibri" w:cs="Calibri"/>
                <w:bCs/>
                <w:szCs w:val="21"/>
                <w:lang w:val="lt-LT" w:eastAsia="en-US"/>
              </w:rPr>
              <w:t>Tiekėjas, kiekvienas tiekėjų grupės narys, jeigu pasiūlymą teikia ūkio subjektų grupė, ūkio subjektas, kurio pajėgumais remiasi tiekėjas, pagal jų prisiimamus įsipareigojimus pirkimo sutarčiai vykdyti.</w:t>
            </w:r>
          </w:p>
          <w:p>
            <w:pPr>
              <w:pStyle w:val="Textbody"/>
              <w:spacing w:lineRule="auto" w:line="240" w:before="0" w:after="0"/>
              <w:ind w:hanging="0"/>
              <w:rPr>
                <w:lang w:val="lt-LT"/>
              </w:rPr>
            </w:pPr>
            <w:r>
              <w:rPr>
                <w:rFonts w:eastAsia="Calibri" w:cs="Calibri"/>
                <w:bCs/>
                <w:szCs w:val="21"/>
                <w:lang w:val="lt-LT" w:eastAsia="en-US"/>
              </w:rPr>
              <w:t>Tiekėjas gali remtis kitų ūkio subjektų pajėgumais tik tuomet, kai tie subjektai, kurių pajėgumais buvo pasiremta, patys atliks darbus, kuriems reikia jų pajėgumų.</w:t>
            </w:r>
          </w:p>
          <w:p>
            <w:pPr>
              <w:pStyle w:val="Textbody"/>
              <w:spacing w:lineRule="auto" w:line="240" w:before="0" w:after="0"/>
              <w:ind w:hanging="0"/>
              <w:rPr>
                <w:lang w:val="lt-LT"/>
              </w:rPr>
            </w:pPr>
            <w:r>
              <w:rPr>
                <w:rFonts w:eastAsia="Calibri" w:cs="Calibri"/>
                <w:bCs/>
                <w:szCs w:val="21"/>
                <w:lang w:val="lt-LT" w:eastAsia="en-US"/>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bookmarkStart w:id="64" w:name="_Hlk181252836"/>
            <w:bookmarkEnd w:id="64"/>
          </w:p>
        </w:tc>
      </w:tr>
      <w:tr>
        <w:trPr/>
        <w:tc>
          <w:tcPr>
            <w:tcW w:w="545"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center"/>
              <w:rPr>
                <w:lang w:val="lt-LT"/>
              </w:rPr>
            </w:pPr>
            <w:r>
              <w:rPr>
                <w:rFonts w:eastAsia="Calibri" w:cs="Calibri"/>
                <w:bCs/>
                <w:lang w:val="lt-LT" w:eastAsia="en-US"/>
              </w:rPr>
              <w:t>2.</w:t>
            </w:r>
          </w:p>
        </w:tc>
        <w:tc>
          <w:tcPr>
            <w:tcW w:w="9485" w:type="dxa"/>
            <w:gridSpan w:val="3"/>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eastAsia="Calibri" w:cs="Calibri"/>
                <w:b/>
                <w:bCs/>
                <w:lang w:val="lt-LT" w:eastAsia="en-US"/>
              </w:rPr>
              <w:t>Techninis ir profesinis pajėgumas</w:t>
            </w:r>
          </w:p>
        </w:tc>
      </w:tr>
      <w:tr>
        <w:trPr/>
        <w:tc>
          <w:tcPr>
            <w:tcW w:w="545"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center"/>
              <w:rPr>
                <w:lang w:val="lt-LT"/>
              </w:rPr>
            </w:pPr>
            <w:r>
              <w:rPr>
                <w:rFonts w:eastAsia="Calibri" w:cs="Calibri"/>
                <w:bCs/>
                <w:lang w:val="lt-LT" w:eastAsia="en-US"/>
              </w:rPr>
              <w:t>2.1.</w:t>
            </w:r>
          </w:p>
        </w:tc>
        <w:tc>
          <w:tcPr>
            <w:tcW w:w="353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eastAsia="Calibri" w:cs="Calibri"/>
                <w:bCs/>
                <w:lang w:val="lt-LT" w:eastAsia="en-US"/>
              </w:rPr>
              <w:t>Tiekėjas pirkimo sutarties vykdymui privalo turėti ne mažiau kaip vieną ypatingo statinio statybos vadovą, (statinių grupė – negyvenamieji pastatai, statinio paskirties grupė –visuomeninės), kuris per paskutinius 5 metus iki pasiūlymo pateikimo termino pabaigos ėjo statinio statybos darbų vadovo pareigas bent viename statybos objekte nuo statybos darbų pradžios iki objekto pridavimo – ypatingojo (-ųjų) pastato (-ų) naujos statybos ir (ar) rekonstrukcijos ir (ar) kapitalinio remonto darbai.</w:t>
            </w:r>
          </w:p>
          <w:p>
            <w:pPr>
              <w:pStyle w:val="Standard"/>
              <w:spacing w:lineRule="auto" w:line="240" w:before="0" w:after="0"/>
              <w:jc w:val="both"/>
              <w:rPr>
                <w:rFonts w:eastAsia="Calibri" w:cs="Calibri"/>
                <w:bCs/>
                <w:lang w:val="lt-LT"/>
              </w:rPr>
            </w:pPr>
            <w:r>
              <w:rPr>
                <w:rFonts w:eastAsia="Calibri" w:cs="Calibri"/>
                <w:bCs/>
                <w:lang w:val="lt-LT"/>
              </w:rPr>
            </w:r>
          </w:p>
          <w:p>
            <w:pPr>
              <w:pStyle w:val="Standard"/>
              <w:spacing w:lineRule="auto" w:line="240" w:before="0" w:after="0"/>
              <w:jc w:val="both"/>
              <w:rPr>
                <w:rFonts w:eastAsia="Calibri" w:cs="Calibri"/>
                <w:bCs/>
                <w:lang w:val="lt-LT"/>
              </w:rPr>
            </w:pPr>
            <w:r>
              <w:rPr>
                <w:rFonts w:eastAsia="Calibri" w:cs="Calibri"/>
                <w:bCs/>
                <w:lang w:val="lt-LT"/>
              </w:rPr>
            </w:r>
          </w:p>
        </w:tc>
        <w:tc>
          <w:tcPr>
            <w:tcW w:w="3231" w:type="dxa"/>
            <w:tcBorders>
              <w:top w:val="single" w:sz="4" w:space="0" w:color="000000"/>
              <w:left w:val="single" w:sz="4" w:space="0" w:color="000000"/>
              <w:bottom w:val="single" w:sz="4" w:space="0" w:color="000000"/>
              <w:right w:val="single" w:sz="4" w:space="0" w:color="000000"/>
            </w:tcBorders>
          </w:tcPr>
          <w:p>
            <w:pPr>
              <w:pStyle w:val="Textbody"/>
              <w:spacing w:lineRule="auto" w:line="240" w:before="0" w:after="0"/>
              <w:ind w:hanging="0"/>
              <w:rPr>
                <w:lang w:val="lt-LT"/>
              </w:rPr>
            </w:pPr>
            <w:r>
              <w:rPr>
                <w:rFonts w:eastAsia="Calibri" w:cs="Calibri"/>
                <w:bCs/>
                <w:szCs w:val="21"/>
                <w:lang w:val="lt-LT" w:eastAsia="en-US"/>
              </w:rPr>
              <w:t>Tiekėjo patvirtintas specialistų (-o), kurie (-is) bus atsakingi (-as) už pirkimo sutarties vykdymą, sąrašas (Pirkimo sąlygų 11 priedas), kuriame nurodomi specialisto vardas, pavardė, darbovietė, jo pareigos, vykdant pirkimo sutartį.</w:t>
            </w:r>
          </w:p>
          <w:p>
            <w:pPr>
              <w:pStyle w:val="Textbody"/>
              <w:spacing w:lineRule="auto" w:line="240" w:before="0" w:after="0"/>
              <w:ind w:hanging="0"/>
              <w:rPr>
                <w:lang w:val="lt-LT"/>
              </w:rPr>
            </w:pPr>
            <w:r>
              <w:rPr>
                <w:rFonts w:eastAsia="Calibri" w:cs="Calibri"/>
                <w:bCs/>
                <w:szCs w:val="21"/>
                <w:lang w:val="lt-LT" w:eastAsia="en-US"/>
              </w:rPr>
              <w:t>Dokumentai, kuriuos turės pateikti galimas laimėtojas:</w:t>
            </w:r>
          </w:p>
          <w:p>
            <w:pPr>
              <w:pStyle w:val="Textbody"/>
              <w:spacing w:lineRule="auto" w:line="240" w:before="0" w:after="0"/>
              <w:ind w:hanging="0"/>
              <w:rPr>
                <w:lang w:val="lt-LT"/>
              </w:rPr>
            </w:pPr>
            <w:r>
              <w:rPr>
                <w:rFonts w:eastAsia="Calibri" w:cs="Calibri"/>
                <w:bCs/>
                <w:szCs w:val="21"/>
                <w:lang w:val="lt-LT" w:eastAsia="en-US"/>
              </w:rPr>
              <w:t>1. Siūlomo ypatingo statinio statybos vadovo  patirčiai pagrįsti pateikiamas vykdytų sutarčių (objektų) sąrašas ir dokumento, patvirtinančio, kad specialistas buvo paskirtas ypatingo statinio statybos vadovu kopija (Pirkimo sąlygų 12 priedas).</w:t>
            </w:r>
          </w:p>
          <w:p>
            <w:pPr>
              <w:pStyle w:val="Textbody"/>
              <w:spacing w:lineRule="auto" w:line="240" w:before="0" w:after="0"/>
              <w:ind w:hanging="0"/>
              <w:rPr>
                <w:lang w:val="lt-LT"/>
              </w:rPr>
            </w:pPr>
            <w:r>
              <w:rPr>
                <w:rFonts w:eastAsia="Calibri" w:cs="Calibri"/>
                <w:bCs/>
                <w:szCs w:val="21"/>
                <w:lang w:val="lt-LT" w:eastAsia="en-US"/>
              </w:rPr>
              <w:t>2. Dokumentas, kuriame specialistas įsipareigoja vykdyti pirkimo sutartį (tais atvejais, kai specialistas pasiūlymo pateikimo metu nėra Tiekėjo darbuotojas).</w:t>
            </w:r>
          </w:p>
          <w:p>
            <w:pPr>
              <w:pStyle w:val="Textbody"/>
              <w:spacing w:lineRule="auto" w:line="240" w:before="0" w:after="0"/>
              <w:ind w:hanging="0"/>
              <w:rPr>
                <w:lang w:val="lt-LT"/>
              </w:rPr>
            </w:pPr>
            <w:r>
              <w:rPr>
                <w:rFonts w:eastAsia="Calibri" w:cs="Calibri"/>
                <w:bCs/>
                <w:szCs w:val="21"/>
                <w:lang w:val="lt-LT" w:eastAsia="en-US"/>
              </w:rPr>
              <w:t>3. Lietuvos Respublikos ir trečiųjų valstybių piliečiams ir kitiems fiziniams asmenims (išskyrus užsienio šalies specialistus*) SSVA (iki 2022-04-30 SPSC) išduoti kvalifikacijos atestatai ar užsienio šalies specialistams* išduoti teisės pripažinimo dokumentai, arba užsienio šalies specialistams* išduoti dokumentai</w:t>
            </w:r>
            <w:r>
              <w:rPr>
                <w:szCs w:val="21"/>
                <w:lang w:val="lt-LT"/>
              </w:rPr>
              <w:t xml:space="preserve">, patvirtinantys turimą kvalifikaciją kilmės šalyje. Taip pat turi būti pateiktas teisės pripažinimo dokumentas arba prašymas, patvirtinantys kreipimąsi dėl teisės pripažinimo dokumento išdavimo </w:t>
            </w:r>
            <w:r>
              <w:rPr>
                <w:rFonts w:eastAsia="Calibri" w:cs="Calibri"/>
                <w:bCs/>
                <w:szCs w:val="21"/>
                <w:lang w:val="lt-LT" w:eastAsia="en-US"/>
              </w:rPr>
              <w:t>arba nuorodos į nacionalines duomenų bazes bet kurioje valstybėje narėje, prie kurių pirkimo vykdytojas turės galimybę tiesiogiai ir neatlygintinai prisijungęs susipažinti su reikalaujamais dokumentais ir (ar) informacija.</w:t>
            </w:r>
          </w:p>
          <w:p>
            <w:pPr>
              <w:pStyle w:val="Textbody"/>
              <w:spacing w:lineRule="auto" w:line="240" w:before="0" w:after="0"/>
              <w:ind w:hanging="0"/>
              <w:rPr>
                <w:lang w:val="lt-LT"/>
              </w:rPr>
            </w:pPr>
            <w:r>
              <w:rPr>
                <w:rFonts w:eastAsia="Calibri" w:cs="Calibri"/>
                <w:bCs/>
                <w:szCs w:val="21"/>
                <w:lang w:val="lt-LT" w:eastAsia="en-U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 pripažinus jų kilmės valstybėje turimą teisę eiti analogiškų statinių statybos vadovo pareigas.</w:t>
            </w:r>
          </w:p>
          <w:p>
            <w:pPr>
              <w:pStyle w:val="Textbody"/>
              <w:spacing w:lineRule="auto" w:line="240" w:before="0" w:after="0"/>
              <w:ind w:hanging="0"/>
              <w:rPr>
                <w:lang w:val="lt-LT"/>
              </w:rPr>
            </w:pPr>
            <w:r>
              <w:rPr>
                <w:rFonts w:eastAsia="Calibri" w:cs="Calibri"/>
                <w:bCs/>
                <w:szCs w:val="21"/>
                <w:lang w:val="lt-LT" w:eastAsia="en-US"/>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pPr>
              <w:pStyle w:val="Textbody"/>
              <w:spacing w:lineRule="auto" w:line="240" w:before="0" w:after="0"/>
              <w:ind w:hanging="0"/>
              <w:rPr>
                <w:lang w:val="lt-LT"/>
              </w:rPr>
            </w:pPr>
            <w:r>
              <w:rPr>
                <w:rFonts w:eastAsia="Calibri" w:cs="Calibri"/>
                <w:bCs/>
                <w:szCs w:val="21"/>
                <w:lang w:val="lt-LT" w:eastAsia="en-US"/>
              </w:rPr>
              <w:t>Pirkimo vykdytojas informaciją apie Lietuvoje išduotus kvalifikacijos dokumentus pasitikrina SSVA registruose https://www.ssva.lt/cms/registrai.</w:t>
            </w:r>
          </w:p>
        </w:tc>
        <w:tc>
          <w:tcPr>
            <w:tcW w:w="2724" w:type="dxa"/>
            <w:tcBorders>
              <w:top w:val="single" w:sz="4" w:space="0" w:color="000000"/>
              <w:left w:val="single" w:sz="4" w:space="0" w:color="000000"/>
              <w:bottom w:val="single" w:sz="4" w:space="0" w:color="000000"/>
              <w:right w:val="single" w:sz="4" w:space="0" w:color="000000"/>
            </w:tcBorders>
          </w:tcPr>
          <w:p>
            <w:pPr>
              <w:pStyle w:val="Textbody"/>
              <w:spacing w:lineRule="auto" w:line="240" w:before="0" w:after="0"/>
              <w:ind w:hanging="0"/>
              <w:rPr>
                <w:lang w:val="lt-LT"/>
              </w:rPr>
            </w:pPr>
            <w:r>
              <w:rPr>
                <w:rFonts w:eastAsia="Calibri" w:cs="Calibri"/>
                <w:bCs/>
                <w:szCs w:val="21"/>
                <w:lang w:val="lt-LT" w:eastAsia="en-US"/>
              </w:rPr>
              <w:t>Jeigu pasiūlymą teikia ūkio subjektų grupė – reikalavimą turi atitikti ūkio subjektų grupės nario (-ių) specialistai, atsižvelgiant į jų prisiimamus įsipareigojimus pirkimo sutarčiai vykdyti.</w:t>
            </w:r>
          </w:p>
          <w:p>
            <w:pPr>
              <w:pStyle w:val="Textbody"/>
              <w:spacing w:lineRule="auto" w:line="240" w:before="0" w:after="0"/>
              <w:ind w:hanging="0"/>
              <w:rPr>
                <w:lang w:val="lt-LT"/>
              </w:rPr>
            </w:pPr>
            <w:r>
              <w:rPr>
                <w:rFonts w:eastAsia="Calibri" w:cs="Calibri"/>
                <w:bCs/>
                <w:szCs w:val="21"/>
                <w:lang w:val="lt-LT" w:eastAsia="en-US"/>
              </w:rPr>
              <w:t>Tiekėjas gali remtis kitų ūkio subjektų pajėgumais tik tuo atveju, jeigu tie subjektai (jų darbuotojai) patys vykdys tą pirkimo sutarties dalį, kuriai reikia jų turimų pajėgumų.</w:t>
            </w:r>
          </w:p>
          <w:p>
            <w:pPr>
              <w:pStyle w:val="Textbody"/>
              <w:spacing w:lineRule="auto" w:line="240" w:before="0" w:after="0"/>
              <w:ind w:hanging="0"/>
              <w:rPr>
                <w:lang w:val="lt-LT"/>
              </w:rPr>
            </w:pPr>
            <w:r>
              <w:rPr>
                <w:rFonts w:eastAsia="Calibri" w:cs="Calibri"/>
                <w:bCs/>
                <w:szCs w:val="21"/>
                <w:lang w:val="lt-LT"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bookmarkStart w:id="65" w:name="_Hlk181256386"/>
            <w:bookmarkEnd w:id="65"/>
          </w:p>
        </w:tc>
      </w:tr>
      <w:tr>
        <w:trPr/>
        <w:tc>
          <w:tcPr>
            <w:tcW w:w="545"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center"/>
              <w:rPr>
                <w:lang w:val="lt-LT"/>
              </w:rPr>
            </w:pPr>
            <w:r>
              <w:rPr>
                <w:rFonts w:eastAsia="Calibri" w:cs="Calibri"/>
                <w:bCs/>
                <w:lang w:val="lt-LT" w:eastAsia="en-US"/>
              </w:rPr>
              <w:t>2.2.</w:t>
            </w:r>
          </w:p>
        </w:tc>
        <w:tc>
          <w:tcPr>
            <w:tcW w:w="353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bookmarkStart w:id="66" w:name="_Hlk181980015"/>
            <w:r>
              <w:rPr>
                <w:rFonts w:eastAsia="Calibri" w:cs="Calibri"/>
                <w:bCs/>
                <w:lang w:val="lt-LT" w:eastAsia="en-US"/>
              </w:rPr>
              <w:t xml:space="preserve">Tiekėjas per paskutinius 5 metus iki pasiūlymo pateikimo termino pabaigos savo jėgomis yra įvykdęs ypatingame </w:t>
            </w:r>
            <w:r>
              <w:rPr>
                <w:lang w:val="lt-LT"/>
              </w:rPr>
              <w:t>ir (ar) neypatingame, gyvenamosios ir (ar) negyvenamosios paskirties pastatuose n</w:t>
            </w:r>
            <w:r>
              <w:rPr>
                <w:rFonts w:eastAsia="Calibri" w:cs="Calibri"/>
                <w:bCs/>
                <w:lang w:val="lt-LT" w:eastAsia="en-US"/>
              </w:rPr>
              <w:t>aujos statybos ir/ar rekonstrukcijos ir/ar kapitalinio remonto darbų, kurių bendra vertė ne mažesnė kaip 950000 Eur be PVM ir darbų atlikimas ir galutiniai rezultatai buvo tinkami.</w:t>
            </w:r>
            <w:bookmarkEnd w:id="66"/>
          </w:p>
          <w:p>
            <w:pPr>
              <w:pStyle w:val="Standard"/>
              <w:spacing w:lineRule="auto" w:line="240" w:before="0" w:after="0"/>
              <w:jc w:val="both"/>
              <w:rPr>
                <w:lang w:val="lt-LT"/>
              </w:rPr>
            </w:pPr>
            <w:r>
              <w:rPr>
                <w:rFonts w:eastAsia="Calibri" w:cs="Calibri"/>
                <w:bCs/>
                <w:lang w:val="lt-LT" w:eastAsia="en-US"/>
              </w:rPr>
              <w:t>Pastaba: 5 metų terminas vertinamas skaičiuojant 5 metus iki pasiūlymo pateikimo termino pabaigos.</w:t>
            </w:r>
          </w:p>
          <w:p>
            <w:pPr>
              <w:pStyle w:val="Standard"/>
              <w:spacing w:lineRule="auto" w:line="240" w:before="0" w:after="0"/>
              <w:jc w:val="both"/>
              <w:rPr>
                <w:rFonts w:eastAsia="Calibri" w:cs="Calibri"/>
                <w:bCs/>
                <w:lang w:val="lt-LT"/>
              </w:rPr>
            </w:pPr>
            <w:r>
              <w:rPr>
                <w:rFonts w:eastAsia="Calibri" w:cs="Calibri"/>
                <w:bCs/>
                <w:lang w:val="lt-LT"/>
              </w:rPr>
            </w:r>
          </w:p>
          <w:p>
            <w:pPr>
              <w:pStyle w:val="Standard"/>
              <w:spacing w:lineRule="auto" w:line="240" w:before="0" w:after="0"/>
              <w:jc w:val="both"/>
              <w:rPr>
                <w:lang w:val="lt-LT"/>
              </w:rPr>
            </w:pPr>
            <w:r>
              <w:rPr>
                <w:rFonts w:eastAsia="Calibri" w:cs="Calibri"/>
                <w:bCs/>
                <w:lang w:val="lt-LT" w:eastAsia="en-US"/>
              </w:rPr>
              <w:t>Tiekėjui nedraudžiama remtis sutartimi, kurią tiekėjas vykdė ne vienas, bet kartu su kitais ūkio subjektais. Tačiau tokiu atveju bus vertinami būtent konkretaus tiekėjo, dalyvaujančio viešajame pirkime, atliktų darbų apimtis, vertė, o ne visas vykdytos sutarties objektas.</w:t>
            </w:r>
          </w:p>
        </w:tc>
        <w:tc>
          <w:tcPr>
            <w:tcW w:w="3231" w:type="dxa"/>
            <w:tcBorders>
              <w:top w:val="single" w:sz="4" w:space="0" w:color="000000"/>
              <w:left w:val="single" w:sz="4" w:space="0" w:color="000000"/>
              <w:bottom w:val="single" w:sz="4" w:space="0" w:color="000000"/>
              <w:right w:val="single" w:sz="4" w:space="0" w:color="000000"/>
            </w:tcBorders>
          </w:tcPr>
          <w:p>
            <w:pPr>
              <w:pStyle w:val="Textbody"/>
              <w:spacing w:lineRule="auto" w:line="240" w:before="0" w:after="0"/>
              <w:ind w:hanging="0"/>
              <w:rPr>
                <w:lang w:val="lt-LT"/>
              </w:rPr>
            </w:pPr>
            <w:r>
              <w:rPr>
                <w:rFonts w:eastAsia="Calibri" w:cs="Calibri"/>
                <w:bCs/>
                <w:szCs w:val="21"/>
                <w:lang w:val="lt-LT" w:eastAsia="en-US"/>
              </w:rPr>
              <w:t>Per paskutinius 5 metus atliktų statybos darbų sąrašas (Pirkimo sąlygų 13 priedas)</w:t>
            </w:r>
          </w:p>
          <w:p>
            <w:pPr>
              <w:pStyle w:val="Textbody"/>
              <w:spacing w:lineRule="auto" w:line="240" w:before="0" w:after="0"/>
              <w:ind w:hanging="0"/>
              <w:rPr>
                <w:lang w:val="lt-LT"/>
              </w:rPr>
            </w:pPr>
            <w:r>
              <w:rPr>
                <w:rFonts w:eastAsia="Calibri" w:cs="Calibri"/>
                <w:bCs/>
                <w:szCs w:val="21"/>
                <w:lang w:val="lt-LT" w:eastAsia="en-US"/>
              </w:rPr>
              <w:t>Dokumentai, kuriuos turės pateikti galimas laimėtojas: per paskutinius 5 metus atliktų darbų sąrašas kartu su užsakovų (tiek viešųjų, tiek privačiųjų) pažymomis, kuriose nurodoma,  kokie statybos darbai buvo atlikti, kokia jų vertė, ar  naujos statybos, ir/ar rekonstrukcijos, ir/ar kapitalinio remonto darbų atlikimas ir galutinai rezultatai buvo tinkami.</w:t>
            </w:r>
          </w:p>
          <w:p>
            <w:pPr>
              <w:pStyle w:val="Textbody"/>
              <w:spacing w:lineRule="auto" w:line="240" w:before="0" w:after="0"/>
              <w:ind w:hanging="0"/>
              <w:rPr>
                <w:rFonts w:eastAsia="Calibri" w:cs="Calibri"/>
                <w:bCs/>
                <w:szCs w:val="21"/>
                <w:lang w:val="lt-LT"/>
              </w:rPr>
            </w:pPr>
            <w:r>
              <w:rPr>
                <w:rFonts w:eastAsia="Calibri" w:cs="Calibri"/>
                <w:bCs/>
                <w:szCs w:val="21"/>
                <w:lang w:val="lt-LT"/>
              </w:rPr>
            </w:r>
          </w:p>
        </w:tc>
        <w:tc>
          <w:tcPr>
            <w:tcW w:w="2724" w:type="dxa"/>
            <w:tcBorders>
              <w:top w:val="single" w:sz="4" w:space="0" w:color="000000"/>
              <w:left w:val="single" w:sz="4" w:space="0" w:color="000000"/>
              <w:bottom w:val="single" w:sz="4" w:space="0" w:color="000000"/>
              <w:right w:val="single" w:sz="4" w:space="0" w:color="000000"/>
            </w:tcBorders>
          </w:tcPr>
          <w:p>
            <w:pPr>
              <w:pStyle w:val="Textbody"/>
              <w:spacing w:lineRule="auto" w:line="240" w:before="0" w:after="0"/>
              <w:ind w:hanging="0"/>
              <w:rPr>
                <w:lang w:val="lt-LT"/>
              </w:rPr>
            </w:pPr>
            <w:r>
              <w:rPr>
                <w:rFonts w:eastAsia="Calibri" w:cs="Calibri"/>
                <w:bCs/>
                <w:szCs w:val="21"/>
                <w:lang w:val="lt-LT" w:eastAsia="en-US"/>
              </w:rPr>
              <w:t>Jei pasiūlymą teikia ūkio subjektų grupė, šį kvalifikacijos reikalavimą turi atitikti visi ūkio subjektų grupės nariai kartu (ūkio subjektų grupės narių turima patirtis sumuojama), atsižvelgiant į jų prisiimamus įsipareigojimus.</w:t>
            </w:r>
          </w:p>
          <w:p>
            <w:pPr>
              <w:pStyle w:val="Textbody"/>
              <w:spacing w:lineRule="auto" w:line="240" w:before="0" w:after="0"/>
              <w:ind w:hanging="0"/>
              <w:rPr>
                <w:lang w:val="lt-LT"/>
              </w:rPr>
            </w:pPr>
            <w:r>
              <w:rPr>
                <w:rFonts w:eastAsia="Calibri" w:cs="Calibri"/>
                <w:bCs/>
                <w:szCs w:val="21"/>
                <w:lang w:val="lt-LT" w:eastAsia="en-US"/>
              </w:rPr>
              <w:t>Tiekėjas gali remtis kitų ūkio subjektų pajėgumais tik tuo atveju, jeigu tie subjektai patys vykdys tą pirkimo sutarties dalį, kuriai reikia jų turimų pajėgumų.</w:t>
            </w:r>
          </w:p>
          <w:p>
            <w:pPr>
              <w:pStyle w:val="Textbody"/>
              <w:spacing w:lineRule="auto" w:line="240" w:before="0" w:after="0"/>
              <w:ind w:hanging="0"/>
              <w:rPr>
                <w:lang w:val="lt-LT"/>
              </w:rPr>
            </w:pPr>
            <w:r>
              <w:rPr>
                <w:rFonts w:eastAsia="Calibri" w:cs="Calibri"/>
                <w:bCs/>
                <w:szCs w:val="21"/>
                <w:lang w:val="lt-LT" w:eastAsia="en-US"/>
              </w:rPr>
              <w:t>Subtiekėjams šis reikalavimas nenustatomas.</w:t>
            </w:r>
          </w:p>
          <w:p>
            <w:pPr>
              <w:pStyle w:val="Textbody"/>
              <w:spacing w:lineRule="auto" w:line="240" w:before="0" w:after="0"/>
              <w:ind w:hanging="0"/>
              <w:rPr>
                <w:rFonts w:eastAsia="Calibri" w:cs="Calibri"/>
                <w:bCs/>
                <w:szCs w:val="21"/>
                <w:lang w:val="lt-LT"/>
              </w:rPr>
            </w:pPr>
            <w:r>
              <w:rPr>
                <w:rFonts w:eastAsia="Calibri" w:cs="Calibri"/>
                <w:bCs/>
                <w:szCs w:val="21"/>
                <w:lang w:val="lt-LT"/>
              </w:rPr>
            </w:r>
          </w:p>
        </w:tc>
      </w:tr>
    </w:tbl>
    <w:p>
      <w:pPr>
        <w:pStyle w:val="Standard"/>
        <w:spacing w:lineRule="atLeast" w:line="20" w:before="0" w:after="0"/>
        <w:ind w:firstLine="567"/>
        <w:jc w:val="both"/>
        <w:rPr>
          <w:rFonts w:eastAsia="Calibri" w:cs="Calibri"/>
          <w:iCs/>
          <w:lang w:val="lt-LT" w:eastAsia="en-US"/>
        </w:rPr>
      </w:pPr>
      <w:r>
        <w:rPr>
          <w:rFonts w:eastAsia="Calibri" w:cs="Calibri"/>
          <w:iCs/>
          <w:lang w:val="lt-LT" w:eastAsia="en-US"/>
        </w:rPr>
      </w:r>
    </w:p>
    <w:p>
      <w:pPr>
        <w:pStyle w:val="Standard"/>
        <w:tabs>
          <w:tab w:val="left" w:pos="720" w:leader="none"/>
        </w:tabs>
        <w:spacing w:lineRule="auto" w:line="240"/>
        <w:jc w:val="center"/>
        <w:rPr>
          <w:lang w:val="lt-LT"/>
        </w:rPr>
      </w:pPr>
      <w:r>
        <w:rPr>
          <w:rFonts w:eastAsia="Calibri"/>
          <w:b/>
          <w:bCs/>
          <w:lang w:val="lt-LT" w:eastAsia="en-US"/>
        </w:rPr>
        <w:t>Tiekėjams keliami reikalavimai dėl kokybės vadybos sistemos ir (ar) aplinkos apsaugos vadybos sistemos standartų reikalavimai</w:t>
      </w:r>
    </w:p>
    <w:p>
      <w:pPr>
        <w:pStyle w:val="Standard"/>
        <w:tabs>
          <w:tab w:val="left" w:pos="720" w:leader="none"/>
        </w:tabs>
        <w:spacing w:lineRule="auto" w:line="240"/>
        <w:ind w:firstLine="567"/>
        <w:rPr>
          <w:lang w:val="lt-LT"/>
        </w:rPr>
      </w:pPr>
      <w:r>
        <w:rPr>
          <w:rFonts w:eastAsia="Calibri" w:cs="Calibri"/>
          <w:color w:val="000000"/>
          <w:lang w:val="lt-LT" w:eastAsia="en-US"/>
        </w:rPr>
        <w:t xml:space="preserve">1. Tiekėjai turi atitikti šiame priede nustatytus reikalavimus dėl aplinkos apsaugos vadybos sistemos standartų laikymosi. </w:t>
      </w:r>
    </w:p>
    <w:tbl>
      <w:tblPr>
        <w:tblW w:w="4850" w:type="pct"/>
        <w:jc w:val="left"/>
        <w:tblInd w:w="230" w:type="dxa"/>
        <w:tblLayout w:type="fixed"/>
        <w:tblCellMar>
          <w:top w:w="0" w:type="dxa"/>
          <w:left w:w="108" w:type="dxa"/>
          <w:bottom w:w="0" w:type="dxa"/>
          <w:right w:w="108" w:type="dxa"/>
        </w:tblCellMar>
        <w:tblLook w:firstRow="1" w:noVBand="1" w:lastRow="0" w:firstColumn="1" w:lastColumn="0" w:noHBand="0" w:val="04a0"/>
      </w:tblPr>
      <w:tblGrid>
        <w:gridCol w:w="647"/>
        <w:gridCol w:w="3479"/>
        <w:gridCol w:w="3195"/>
        <w:gridCol w:w="2350"/>
      </w:tblGrid>
      <w:tr>
        <w:trPr>
          <w:tblHeader w:val="true"/>
          <w:cantSplit w:val="true"/>
        </w:trPr>
        <w:tc>
          <w:tcPr>
            <w:tcW w:w="647"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7" w:before="60" w:after="60"/>
              <w:jc w:val="center"/>
              <w:rPr>
                <w:lang w:val="lt-LT"/>
              </w:rPr>
            </w:pPr>
            <w:r>
              <w:rPr>
                <w:rFonts w:eastAsia="Calibri" w:cs="Calibri"/>
                <w:b/>
                <w:bCs/>
                <w:lang w:val="lt-LT"/>
              </w:rPr>
              <w:t>Eil. Nr.</w:t>
            </w:r>
          </w:p>
        </w:tc>
        <w:tc>
          <w:tcPr>
            <w:tcW w:w="3479"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7" w:before="60" w:after="60"/>
              <w:jc w:val="center"/>
              <w:rPr>
                <w:lang w:val="lt-LT"/>
              </w:rPr>
            </w:pPr>
            <w:r>
              <w:rPr>
                <w:rFonts w:cs="Calibri"/>
                <w:b/>
                <w:bCs/>
                <w:color w:val="000000"/>
                <w:lang w:val="lt-LT"/>
              </w:rPr>
              <w:t xml:space="preserve">Reikalavimas </w:t>
            </w:r>
            <w:r>
              <w:rPr>
                <w:rFonts w:eastAsia="Calibri" w:cs="Calibri"/>
                <w:b/>
                <w:bCs/>
                <w:lang w:val="lt-LT" w:eastAsia="en-US"/>
              </w:rPr>
              <w:t>d</w:t>
            </w:r>
            <w:r>
              <w:rPr>
                <w:rFonts w:eastAsia="Calibri" w:cs="Calibri"/>
                <w:b/>
                <w:bCs/>
                <w:color w:val="000000"/>
                <w:lang w:val="lt-LT" w:eastAsia="en-US"/>
              </w:rPr>
              <w:t xml:space="preserve">ėl </w:t>
            </w:r>
            <w:r>
              <w:rPr>
                <w:rFonts w:eastAsia="Calibri" w:cs="Calibri"/>
                <w:b/>
                <w:bCs/>
                <w:iCs/>
                <w:color w:val="000000"/>
                <w:lang w:val="lt-LT" w:eastAsia="en-US"/>
              </w:rPr>
              <w:t>aplinkos apsaugos vadybos sistemos standartų</w:t>
            </w:r>
            <w:r>
              <w:rPr>
                <w:rFonts w:eastAsia="Calibri" w:cs="Calibri"/>
                <w:b/>
                <w:bCs/>
                <w:color w:val="000000"/>
                <w:lang w:val="lt-LT" w:eastAsia="en-US"/>
              </w:rPr>
              <w:t xml:space="preserve"> laikymosi</w:t>
            </w:r>
          </w:p>
        </w:tc>
        <w:tc>
          <w:tcPr>
            <w:tcW w:w="3195"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0" w:before="0" w:after="160"/>
              <w:jc w:val="center"/>
              <w:rPr>
                <w:lang w:val="lt-LT"/>
              </w:rPr>
            </w:pPr>
            <w:r>
              <w:rPr>
                <w:rFonts w:eastAsia="Times New Roman" w:cs="Calibri"/>
                <w:b/>
                <w:bCs/>
                <w:color w:val="000000"/>
                <w:lang w:val="lt-LT"/>
              </w:rPr>
              <w:t>Atitiktį reikalavimui įrodantys dokumentai</w:t>
            </w:r>
          </w:p>
        </w:tc>
        <w:tc>
          <w:tcPr>
            <w:tcW w:w="2350"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0" w:before="0" w:after="160"/>
              <w:jc w:val="center"/>
              <w:rPr>
                <w:lang w:val="lt-LT"/>
              </w:rPr>
            </w:pPr>
            <w:r>
              <w:rPr>
                <w:rFonts w:eastAsia="Times New Roman" w:cs="Calibri"/>
                <w:b/>
                <w:bCs/>
                <w:color w:val="000000"/>
                <w:lang w:val="lt-LT"/>
              </w:rPr>
              <w:t>Subjektas, kuris turi atitikti reikalavimą</w:t>
            </w:r>
          </w:p>
        </w:tc>
      </w:tr>
      <w:tr>
        <w:trPr/>
        <w:tc>
          <w:tcPr>
            <w:tcW w:w="647"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7" w:before="60" w:after="60"/>
              <w:jc w:val="center"/>
              <w:rPr>
                <w:lang w:val="lt-LT"/>
              </w:rPr>
            </w:pPr>
            <w:r>
              <w:rPr>
                <w:rFonts w:eastAsia="Calibri" w:cs="Calibri"/>
                <w:b/>
                <w:bCs/>
                <w:lang w:val="lt-LT"/>
              </w:rPr>
              <w:t>1.</w:t>
            </w:r>
          </w:p>
        </w:tc>
        <w:tc>
          <w:tcPr>
            <w:tcW w:w="9024" w:type="dxa"/>
            <w:gridSpan w:val="3"/>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0" w:before="0" w:after="160"/>
              <w:rPr>
                <w:lang w:val="lt-LT"/>
              </w:rPr>
            </w:pPr>
            <w:bookmarkStart w:id="67" w:name="_Hlk181966534"/>
            <w:r>
              <w:rPr>
                <w:rFonts w:eastAsia="Times New Roman" w:cs="Calibri"/>
                <w:b/>
                <w:bCs/>
                <w:color w:val="000000"/>
                <w:lang w:val="lt-LT"/>
              </w:rPr>
              <w:t>Aplinkos apsaugos vadybos sistemos taikymas</w:t>
            </w:r>
            <w:bookmarkEnd w:id="67"/>
          </w:p>
        </w:tc>
      </w:tr>
      <w:tr>
        <w:trPr/>
        <w:tc>
          <w:tcPr>
            <w:tcW w:w="64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7" w:before="60" w:after="60"/>
              <w:jc w:val="center"/>
              <w:rPr>
                <w:lang w:val="lt-LT"/>
              </w:rPr>
            </w:pPr>
            <w:r>
              <w:rPr>
                <w:rFonts w:eastAsia="Calibri" w:cs="Calibri"/>
                <w:lang w:val="lt-LT"/>
              </w:rPr>
              <w:t>1.1.</w:t>
            </w:r>
          </w:p>
        </w:tc>
        <w:tc>
          <w:tcPr>
            <w:tcW w:w="347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jc w:val="both"/>
              <w:rPr>
                <w:lang w:val="lt-LT"/>
              </w:rPr>
            </w:pPr>
            <w:bookmarkStart w:id="68" w:name="_Hlk181265587"/>
            <w:r>
              <w:rPr>
                <w:rFonts w:eastAsia="Times New Roman" w:cs="Calibri"/>
                <w:color w:val="000000"/>
                <w:lang w:val="lt-LT"/>
              </w:rPr>
              <w:t>Tiekėjas atliekamiems statybos darbams taiko aplinkos apsaugos vadybos sistem</w:t>
            </w:r>
            <w:bookmarkStart w:id="69" w:name="_GoBack"/>
            <w:bookmarkEnd w:id="69"/>
            <w:r>
              <w:rPr>
                <w:rFonts w:eastAsia="Times New Roman" w:cs="Calibri"/>
                <w:color w:val="000000"/>
                <w:lang w:val="lt-LT"/>
              </w:rPr>
              <w:t>os reikalavimus pagal standartą LST EN ISO 14001 arba EMAS ar kitus aplinkos apsaugos vadybos standartus, pagrįstus atitinkamais Europos arba tarptautinių standartizacijos organizacijų priimtais standartais, ar kitais tiekėjo pateiktais lygiaverčiais įrodymais</w:t>
            </w:r>
            <w:bookmarkEnd w:id="68"/>
          </w:p>
          <w:p>
            <w:pPr>
              <w:pStyle w:val="Standard"/>
              <w:widowControl w:val="false"/>
              <w:spacing w:lineRule="auto" w:line="240"/>
              <w:jc w:val="both"/>
              <w:rPr>
                <w:rFonts w:eastAsia="Times New Roman" w:cs="Calibri"/>
                <w:color w:val="000000"/>
                <w:shd w:fill="FFFF00" w:val="clear"/>
                <w:lang w:val="lt-LT"/>
              </w:rPr>
            </w:pPr>
            <w:r>
              <w:rPr>
                <w:rFonts w:eastAsia="Times New Roman" w:cs="Calibri"/>
                <w:color w:val="000000"/>
                <w:shd w:fill="FFFF00" w:val="clear"/>
                <w:lang w:val="lt-LT"/>
              </w:rPr>
            </w:r>
          </w:p>
          <w:p>
            <w:pPr>
              <w:pStyle w:val="Standard"/>
              <w:widowControl w:val="false"/>
              <w:spacing w:lineRule="auto" w:line="240"/>
              <w:jc w:val="both"/>
              <w:rPr>
                <w:color w:val="000000"/>
                <w:lang w:val="lt-LT"/>
              </w:rPr>
            </w:pPr>
            <w:r>
              <w:rPr>
                <w:color w:val="000000"/>
                <w:lang w:val="lt-LT"/>
              </w:rPr>
            </w:r>
          </w:p>
          <w:p>
            <w:pPr>
              <w:pStyle w:val="Standard"/>
              <w:widowControl w:val="false"/>
              <w:spacing w:lineRule="auto" w:line="240"/>
              <w:jc w:val="both"/>
              <w:rPr>
                <w:color w:val="000000"/>
                <w:lang w:val="lt-LT"/>
              </w:rPr>
            </w:pPr>
            <w:r>
              <w:rPr>
                <w:color w:val="000000"/>
                <w:lang w:val="lt-LT"/>
              </w:rPr>
            </w:r>
          </w:p>
          <w:p>
            <w:pPr>
              <w:pStyle w:val="Standard"/>
              <w:widowControl w:val="false"/>
              <w:spacing w:lineRule="auto" w:line="240"/>
              <w:jc w:val="both"/>
              <w:rPr>
                <w:color w:val="000000"/>
                <w:lang w:val="lt-LT"/>
              </w:rPr>
            </w:pPr>
            <w:r>
              <w:rPr>
                <w:color w:val="000000"/>
                <w:lang w:val="lt-LT"/>
              </w:rPr>
            </w:r>
          </w:p>
          <w:p>
            <w:pPr>
              <w:pStyle w:val="Standard"/>
              <w:widowControl w:val="false"/>
              <w:spacing w:lineRule="auto" w:line="240"/>
              <w:jc w:val="both"/>
              <w:rPr>
                <w:color w:val="000000"/>
                <w:lang w:val="lt-LT"/>
              </w:rPr>
            </w:pPr>
            <w:r>
              <w:rPr>
                <w:color w:val="000000"/>
                <w:lang w:val="lt-LT"/>
              </w:rPr>
            </w:r>
          </w:p>
          <w:p>
            <w:pPr>
              <w:pStyle w:val="Standard"/>
              <w:widowControl w:val="false"/>
              <w:spacing w:lineRule="auto" w:line="240"/>
              <w:jc w:val="both"/>
              <w:rPr>
                <w:color w:val="000000"/>
                <w:lang w:val="lt-LT"/>
              </w:rPr>
            </w:pPr>
            <w:r>
              <w:rPr>
                <w:color w:val="000000"/>
                <w:lang w:val="lt-LT"/>
              </w:rPr>
            </w:r>
          </w:p>
          <w:p>
            <w:pPr>
              <w:pStyle w:val="Standard"/>
              <w:widowControl w:val="false"/>
              <w:spacing w:lineRule="auto" w:line="240"/>
              <w:jc w:val="both"/>
              <w:rPr>
                <w:color w:val="000000"/>
                <w:lang w:val="lt-LT"/>
              </w:rPr>
            </w:pPr>
            <w:r>
              <w:rPr>
                <w:color w:val="000000"/>
                <w:lang w:val="lt-LT"/>
              </w:rPr>
            </w:r>
          </w:p>
          <w:p>
            <w:pPr>
              <w:pStyle w:val="Standard"/>
              <w:widowControl w:val="false"/>
              <w:spacing w:lineRule="auto" w:line="240"/>
              <w:jc w:val="both"/>
              <w:rPr>
                <w:color w:val="000000"/>
                <w:lang w:val="lt-LT"/>
              </w:rPr>
            </w:pPr>
            <w:r>
              <w:rPr>
                <w:color w:val="000000"/>
                <w:lang w:val="lt-LT"/>
              </w:rPr>
            </w:r>
          </w:p>
          <w:p>
            <w:pPr>
              <w:pStyle w:val="Standard"/>
              <w:widowControl w:val="false"/>
              <w:spacing w:lineRule="auto" w:line="240"/>
              <w:jc w:val="both"/>
              <w:rPr>
                <w:color w:val="000000"/>
                <w:lang w:val="lt-LT"/>
              </w:rPr>
            </w:pPr>
            <w:r>
              <w:rPr>
                <w:color w:val="000000"/>
                <w:lang w:val="lt-LT"/>
              </w:rPr>
            </w:r>
          </w:p>
          <w:p>
            <w:pPr>
              <w:pStyle w:val="Standard"/>
              <w:widowControl w:val="false"/>
              <w:spacing w:lineRule="auto" w:line="240" w:before="0" w:after="160"/>
              <w:jc w:val="both"/>
              <w:rPr>
                <w:color w:val="000000"/>
                <w:lang w:val="lt-LT"/>
              </w:rPr>
            </w:pPr>
            <w:r>
              <w:rPr>
                <w:color w:val="000000"/>
                <w:lang w:val="lt-LT"/>
              </w:rPr>
            </w:r>
          </w:p>
        </w:tc>
        <w:tc>
          <w:tcPr>
            <w:tcW w:w="319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jc w:val="both"/>
              <w:rPr>
                <w:lang w:val="lt-LT"/>
              </w:rPr>
            </w:pPr>
            <w:r>
              <w:rPr>
                <w:rFonts w:eastAsia="Times New Roman" w:cs="Calibri"/>
                <w:color w:val="000000"/>
                <w:lang w:val="lt-LT"/>
              </w:rPr>
              <w:t>Nepriklausomos įstaigos išduoto galiojančio sertifikato, patvirtinančio, kad tiekėjas laikosi reikalaujamos aplinkos apsaugos vadybos sistemos standartų, skaitmeninė kopija.</w:t>
            </w:r>
          </w:p>
          <w:p>
            <w:pPr>
              <w:pStyle w:val="Standard"/>
              <w:widowControl w:val="false"/>
              <w:spacing w:lineRule="auto" w:line="240"/>
              <w:jc w:val="both"/>
              <w:rPr>
                <w:lang w:val="lt-LT"/>
              </w:rPr>
            </w:pPr>
            <w:r>
              <w:rPr>
                <w:rFonts w:eastAsia="Times New Roman" w:cs="Calibri"/>
                <w:color w:val="000000"/>
                <w:lang w:val="lt-LT"/>
              </w:rPr>
              <w:t>Perkančioji organizacija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pPr>
              <w:pStyle w:val="Standard"/>
              <w:widowControl w:val="false"/>
              <w:spacing w:lineRule="auto" w:line="240"/>
              <w:jc w:val="both"/>
              <w:rPr>
                <w:lang w:val="lt-LT"/>
              </w:rPr>
            </w:pPr>
            <w:r>
              <w:rPr>
                <w:rFonts w:eastAsia="Times New Roman" w:cs="Calibri"/>
                <w:color w:val="000000"/>
                <w:lang w:val="lt-LT"/>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pPr>
              <w:pStyle w:val="Standard"/>
              <w:widowControl w:val="false"/>
              <w:spacing w:lineRule="auto" w:line="240" w:before="0" w:after="160"/>
              <w:jc w:val="both"/>
              <w:rPr>
                <w:lang w:val="lt-LT"/>
              </w:rPr>
            </w:pPr>
            <w:r>
              <w:rPr>
                <w:rFonts w:eastAsia="Times New Roman" w:cs="Calibri"/>
                <w:color w:val="000000"/>
                <w:lang w:val="lt-LT"/>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(-os)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tc>
        <w:tc>
          <w:tcPr>
            <w:tcW w:w="235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jc w:val="both"/>
              <w:rPr>
                <w:lang w:val="lt-LT"/>
              </w:rPr>
            </w:pPr>
            <w:r>
              <w:rPr>
                <w:rFonts w:cs="Calibri"/>
                <w:color w:val="000000"/>
                <w:lang w:val="lt-LT"/>
              </w:rPr>
              <w:t>Tiekėjai / Subtiekėjai turi laikytis reikalaujamų aplinkos apsaugos vadybos standarto reikalavimų, atsižvelgiant į jų prisiimamus įsipareigojimus pirkimo sutarčiai vykdyti.</w:t>
            </w:r>
          </w:p>
          <w:p>
            <w:pPr>
              <w:pStyle w:val="Standard"/>
              <w:widowControl w:val="false"/>
              <w:spacing w:lineRule="auto" w:line="240"/>
              <w:jc w:val="both"/>
              <w:rPr>
                <w:lang w:val="lt-LT"/>
              </w:rPr>
            </w:pPr>
            <w:r>
              <w:rPr>
                <w:rFonts w:cs="Calibri"/>
                <w:color w:val="000000"/>
                <w:lang w:val="lt-LT"/>
              </w:rPr>
              <w:t>Tiekėjas gali remtis kitų ūkio subjektų pajėgumais atsižvelgiant į jų prisiimamus įsipareigojimus pirkimo sutarčiai vykdyti.</w:t>
            </w:r>
          </w:p>
          <w:p>
            <w:pPr>
              <w:pStyle w:val="Standard"/>
              <w:widowControl w:val="false"/>
              <w:spacing w:lineRule="auto" w:line="240"/>
              <w:jc w:val="both"/>
              <w:rPr>
                <w:lang w:val="lt-LT"/>
              </w:rPr>
            </w:pPr>
            <w:r>
              <w:rPr>
                <w:color w:val="000000"/>
                <w:lang w:val="lt-LT"/>
              </w:rPr>
              <w:t>Jeigu pasiūlymas teikiamas jungtinės veiklos pagrindu, nurodytą standartą taikyti (būti įsidiegęs) ir tai įrodyti turi kiekvienas jungtinės veiklos partneris (pagal prisiimtus įsipareigojimus).</w:t>
            </w:r>
          </w:p>
          <w:p>
            <w:pPr>
              <w:pStyle w:val="Standard"/>
              <w:spacing w:lineRule="auto" w:line="240" w:before="0" w:after="0"/>
              <w:rPr>
                <w:color w:val="000000"/>
                <w:lang w:val="lt-LT"/>
              </w:rPr>
            </w:pPr>
            <w:r>
              <w:rPr>
                <w:color w:val="000000"/>
                <w:lang w:val="lt-LT"/>
              </w:rPr>
            </w:r>
          </w:p>
          <w:p>
            <w:pPr>
              <w:pStyle w:val="Standard"/>
              <w:widowControl w:val="false"/>
              <w:spacing w:lineRule="auto" w:line="240" w:before="0" w:after="160"/>
              <w:jc w:val="both"/>
              <w:rPr>
                <w:lang w:val="lt-LT"/>
              </w:rPr>
            </w:pPr>
            <w:r>
              <w:rPr>
                <w:rFonts w:cs="Calibri"/>
                <w:b/>
                <w:bCs/>
                <w:color w:val="000000"/>
                <w:lang w:val="lt-LT"/>
              </w:rPr>
              <w:t>Pastaba:</w:t>
            </w:r>
            <w:r>
              <w:rPr>
                <w:rFonts w:cs="Calibri"/>
                <w:color w:val="000000"/>
                <w:lang w:val="lt-LT"/>
              </w:rPr>
              <w:t xml:space="preserve"> Jeigu Tiekėjas </w:t>
            </w:r>
            <w:r>
              <w:rPr>
                <w:rFonts w:cs="Calibri"/>
                <w:lang w:val="lt-LT"/>
              </w:rPr>
              <w:t>pats atitinka šį reikalavimą, tačiau pasitelkia Subtiekėjus nurodytiems darbams atlikti, kuriems (-ioms) yra keliamas šis reikalavimas, tokiu atveju</w:t>
            </w:r>
            <w:r>
              <w:rPr>
                <w:rFonts w:cs="Calibri"/>
                <w:color w:val="000000"/>
                <w:lang w:val="lt-LT"/>
              </w:rPr>
              <w:t xml:space="preserve"> Subtiekėjai turi laikytis reikalaujamo aplinkos apsaugos vadybos standarto reikalavimų, atsižvelgiant į jų prisiimamus įsipareigojimus pirkimo sutarčiai vykdyti.</w:t>
            </w:r>
            <w:bookmarkStart w:id="70" w:name="_Hlk181265656"/>
            <w:bookmarkEnd w:id="70"/>
          </w:p>
        </w:tc>
      </w:tr>
    </w:tbl>
    <w:p>
      <w:pPr>
        <w:pStyle w:val="Standard"/>
        <w:spacing w:lineRule="atLeast" w:line="20" w:before="0" w:after="0"/>
        <w:jc w:val="both"/>
        <w:rPr>
          <w:rFonts w:eastAsia="Calibri" w:cs="Calibri"/>
          <w:iCs/>
          <w:lang w:val="lt-LT" w:eastAsia="en-US"/>
        </w:rPr>
      </w:pPr>
      <w:r>
        <w:rPr>
          <w:shd w:fill="auto" w:val="clear"/>
        </w:rPr>
      </w:r>
    </w:p>
    <w:p>
      <w:pPr>
        <w:pStyle w:val="Standard"/>
        <w:spacing w:lineRule="atLeast" w:line="20" w:before="0" w:after="0"/>
        <w:jc w:val="both"/>
        <w:rPr>
          <w:highlight w:val="none"/>
          <w:shd w:fill="auto" w:val="clear"/>
        </w:rPr>
      </w:pPr>
      <w:r>
        <w:rPr>
          <w:rFonts w:eastAsia="Calibri" w:cs="Calibri"/>
          <w:iCs/>
          <w:shd w:fill="auto" w:val="clear"/>
          <w:lang w:val="lt-LT" w:eastAsia="en-US"/>
        </w:rPr>
        <w:t xml:space="preserve">Tiekėjas bet kuriuo sutarties vykdymo metu turi pateikti dokumentus (nepriklausomos įstaigos išduotą sertifikatą), </w:t>
      </w:r>
      <w:r>
        <w:rPr>
          <w:rFonts w:eastAsia="Times New Roman" w:cs="Calibri"/>
          <w:color w:val="000000"/>
          <w:shd w:fill="auto" w:val="clear"/>
          <w:lang w:val="lt-LT"/>
        </w:rPr>
        <w:t xml:space="preserve">kurie patvirtintų, kad tiekėjo siūlomos aplinkos apsaugos vadybos užtikrinimo priemonės atitinka reikalaujamus aplinkos apsaugos vadybos sistemos standartus. Dokumentai turi galioti visą Sutarties vykdymo laikotarpį. </w:t>
      </w:r>
    </w:p>
    <w:p>
      <w:pPr>
        <w:pStyle w:val="Standard"/>
        <w:suppressAutoHyphens w:val="false"/>
        <w:spacing w:lineRule="auto" w:line="240" w:before="0" w:after="0"/>
        <w:ind w:firstLine="567"/>
        <w:jc w:val="both"/>
        <w:rPr>
          <w:rFonts w:eastAsia="Times New Roman" w:cs="Calibri"/>
          <w:lang w:val="lt-LT"/>
        </w:rPr>
      </w:pPr>
      <w:r>
        <w:rPr>
          <w:rFonts w:eastAsia="Times New Roman" w:cs="Calibri"/>
          <w:lang w:val="lt-LT"/>
        </w:rPr>
      </w:r>
    </w:p>
    <w:p>
      <w:pPr>
        <w:pStyle w:val="Standard"/>
        <w:spacing w:lineRule="auto" w:line="240" w:before="0" w:after="0"/>
        <w:jc w:val="center"/>
        <w:rPr>
          <w:lang w:val="lt-LT"/>
        </w:rPr>
      </w:pPr>
      <w:r>
        <w:rPr>
          <w:rFonts w:eastAsia="Calibri" w:cs="Calibri"/>
          <w:lang w:val="lt-LT" w:eastAsia="en-US"/>
        </w:rPr>
        <w:t>__________</w:t>
      </w:r>
      <w:r>
        <w:br w:type="page"/>
      </w:r>
    </w:p>
    <w:p>
      <w:pPr>
        <w:pStyle w:val="Standard"/>
        <w:spacing w:before="0" w:after="160"/>
        <w:jc w:val="right"/>
        <w:rPr>
          <w:lang w:val="lt-LT"/>
        </w:rPr>
      </w:pPr>
      <w:bookmarkStart w:id="71" w:name="_Ref38291394"/>
      <w:bookmarkStart w:id="72" w:name="_Ref38291379"/>
      <w:bookmarkStart w:id="73" w:name="_Ref38898251"/>
      <w:r>
        <w:rPr>
          <w:rFonts w:eastAsia="Calibri" w:cs="Calibri"/>
          <w:color w:val="0070C0"/>
          <w:lang w:val="lt-LT"/>
        </w:rPr>
        <w:t xml:space="preserve">Pirkimo sąlygų 5 priedas „EBVPD“ </w:t>
      </w:r>
      <w:r>
        <w:rPr>
          <w:rFonts w:cs="Calibri"/>
          <w:color w:val="0070C0"/>
          <w:lang w:val="lt-LT"/>
        </w:rPr>
        <w:t>(XML formatu)</w:t>
      </w:r>
      <w:bookmarkEnd w:id="71"/>
      <w:bookmarkEnd w:id="72"/>
      <w:bookmarkEnd w:id="73"/>
    </w:p>
    <w:p>
      <w:pPr>
        <w:pStyle w:val="Standard"/>
        <w:rPr>
          <w:rFonts w:cs="Calibri"/>
          <w:b/>
          <w:bCs/>
          <w:smallCaps/>
          <w:sz w:val="22"/>
          <w:szCs w:val="22"/>
          <w:lang w:val="lt-LT"/>
        </w:rPr>
      </w:pPr>
      <w:r>
        <w:rPr>
          <w:rFonts w:cs="Calibri"/>
          <w:b/>
          <w:bCs/>
          <w:smallCaps/>
          <w:sz w:val="22"/>
          <w:szCs w:val="22"/>
          <w:lang w:val="lt-LT"/>
        </w:rPr>
      </w:r>
    </w:p>
    <w:p>
      <w:pPr>
        <w:pStyle w:val="Subtitle"/>
        <w:jc w:val="center"/>
        <w:rPr>
          <w:lang w:val="lt-LT"/>
        </w:rPr>
      </w:pPr>
      <w:r>
        <w:rPr>
          <w:lang w:val="lt-LT"/>
        </w:rPr>
        <w:t>EUROPOS BENDRASIS VIEŠŲJŲ PIRKIMŲ DOKUMENTAS</w:t>
      </w:r>
    </w:p>
    <w:p>
      <w:pPr>
        <w:pStyle w:val="Standard"/>
        <w:jc w:val="both"/>
        <w:rPr>
          <w:lang w:val="lt-LT"/>
        </w:rPr>
      </w:pPr>
      <w:r>
        <w:rPr>
          <w:rFonts w:cs="Calibri"/>
          <w:lang w:val="lt-LT"/>
        </w:rPr>
        <w:t>„</w:t>
      </w:r>
      <w:r>
        <w:rPr>
          <w:rFonts w:cs="Calibri"/>
          <w:lang w:val="lt-LT"/>
        </w:rPr>
        <w:t>Europos bendrasis viešųjų pirkimų dokumentas (EBVPD)“ pateikiamas .xml formatu.</w:t>
      </w:r>
    </w:p>
    <w:p>
      <w:pPr>
        <w:pStyle w:val="Standard"/>
        <w:jc w:val="both"/>
        <w:rPr>
          <w:lang w:val="lt-LT"/>
        </w:rPr>
      </w:pPr>
      <w:r>
        <w:rPr>
          <w:rFonts w:cs="Calibri"/>
          <w:i/>
          <w:lang w:val="lt-LT"/>
        </w:rPr>
        <w:t>Pateikiama atskiru dokumentu ir skelbiama viešai CVP IS priemonėmis kartu su kitais pirkimo dokumentais.</w:t>
      </w:r>
    </w:p>
    <w:p>
      <w:pPr>
        <w:pStyle w:val="Standard"/>
        <w:jc w:val="center"/>
        <w:rPr>
          <w:lang w:val="lt-LT"/>
        </w:rPr>
      </w:pPr>
      <w:r>
        <w:rPr>
          <w:rFonts w:cs="Calibri"/>
          <w:smallCaps/>
          <w:lang w:val="lt-LT"/>
        </w:rPr>
        <w:t>__________</w:t>
      </w:r>
    </w:p>
    <w:p>
      <w:pPr>
        <w:pStyle w:val="Standard"/>
        <w:rPr>
          <w:rFonts w:cs="Calibri"/>
          <w:b/>
          <w:bCs/>
          <w:smallCaps/>
          <w:sz w:val="22"/>
          <w:szCs w:val="22"/>
          <w:lang w:val="lt-LT"/>
        </w:rPr>
      </w:pPr>
      <w:r>
        <w:rPr>
          <w:rFonts w:cs="Calibri"/>
          <w:b/>
          <w:bCs/>
          <w:smallCaps/>
          <w:sz w:val="22"/>
          <w:szCs w:val="22"/>
          <w:lang w:val="lt-LT"/>
        </w:rPr>
      </w:r>
      <w:r>
        <w:br w:type="page"/>
      </w:r>
    </w:p>
    <w:p>
      <w:pPr>
        <w:pStyle w:val="Heading2"/>
        <w:spacing w:before="0" w:after="0"/>
        <w:ind w:left="6946"/>
        <w:rPr>
          <w:lang w:val="lt-LT"/>
        </w:rPr>
      </w:pPr>
      <w:bookmarkStart w:id="74" w:name="_Ref38898051"/>
      <w:bookmarkStart w:id="75" w:name="_Ref38540913"/>
      <w:bookmarkStart w:id="76" w:name="_Toc170854178"/>
      <w:bookmarkStart w:id="77" w:name="_Ref38901392"/>
      <w:r>
        <w:rPr>
          <w:rFonts w:eastAsia="Calibri" w:cs="Calibri" w:ascii="Calibri" w:hAnsi="Calibri"/>
          <w:color w:val="0070C0"/>
          <w:sz w:val="21"/>
          <w:szCs w:val="21"/>
          <w:lang w:val="lt-LT"/>
        </w:rPr>
        <w:t>Pirkimo sąlygų 6 priedas „Pasiūlymo forma“</w:t>
      </w:r>
      <w:bookmarkEnd w:id="74"/>
      <w:bookmarkEnd w:id="75"/>
      <w:bookmarkEnd w:id="76"/>
      <w:bookmarkEnd w:id="77"/>
    </w:p>
    <w:p>
      <w:pPr>
        <w:pStyle w:val="Standard"/>
        <w:rPr>
          <w:rFonts w:cs="Calibri"/>
          <w:color w:val="7030A0"/>
          <w:lang w:val="lt-LT"/>
        </w:rPr>
      </w:pPr>
      <w:r>
        <w:rPr>
          <w:rFonts w:cs="Calibri"/>
          <w:color w:val="7030A0"/>
          <w:lang w:val="lt-LT"/>
        </w:rPr>
      </w:r>
    </w:p>
    <w:p>
      <w:pPr>
        <w:pStyle w:val="Standard"/>
        <w:spacing w:lineRule="auto" w:line="240" w:before="0" w:after="0"/>
        <w:jc w:val="center"/>
        <w:rPr>
          <w:lang w:val="lt-LT"/>
        </w:rPr>
      </w:pPr>
      <w:bookmarkStart w:id="78" w:name="_Pirkimo_s%25252525252525252525252525252"/>
      <w:bookmarkEnd w:id="78"/>
      <w:r>
        <w:rPr>
          <w:rFonts w:cs="Calibri"/>
          <w:sz w:val="18"/>
          <w:szCs w:val="18"/>
          <w:lang w:val="lt-LT"/>
        </w:rPr>
        <w:t>Herbas arba prekių ženklas</w:t>
      </w:r>
    </w:p>
    <w:p>
      <w:pPr>
        <w:pStyle w:val="Standard"/>
        <w:spacing w:lineRule="auto" w:line="240" w:before="0" w:after="0"/>
        <w:jc w:val="center"/>
        <w:rPr>
          <w:rFonts w:cs="Calibri"/>
          <w:sz w:val="18"/>
          <w:szCs w:val="18"/>
          <w:lang w:val="lt-LT"/>
        </w:rPr>
      </w:pPr>
      <w:r>
        <w:rPr>
          <w:rFonts w:cs="Calibri"/>
          <w:sz w:val="18"/>
          <w:szCs w:val="18"/>
          <w:lang w:val="lt-LT"/>
        </w:rPr>
      </w:r>
    </w:p>
    <w:p>
      <w:pPr>
        <w:pStyle w:val="Standard"/>
        <w:spacing w:lineRule="auto" w:line="240" w:before="0" w:after="0"/>
        <w:jc w:val="center"/>
        <w:rPr>
          <w:lang w:val="lt-LT"/>
        </w:rPr>
      </w:pPr>
      <w:r>
        <w:rPr>
          <w:rFonts w:cs="Calibri"/>
          <w:sz w:val="18"/>
          <w:szCs w:val="18"/>
          <w:lang w:val="lt-LT"/>
        </w:rPr>
        <w:t>(Tiekėjo pavadinimas)</w:t>
      </w:r>
    </w:p>
    <w:p>
      <w:pPr>
        <w:pStyle w:val="Standard"/>
        <w:spacing w:lineRule="auto" w:line="240" w:before="0" w:after="0"/>
        <w:jc w:val="center"/>
        <w:rPr>
          <w:lang w:val="lt-LT"/>
        </w:rPr>
      </w:pPr>
      <w:r>
        <w:rPr>
          <w:rFonts w:cs="Calibri"/>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Standard"/>
        <w:spacing w:lineRule="auto" w:line="240" w:before="0" w:after="0"/>
        <w:jc w:val="center"/>
        <w:rPr>
          <w:rFonts w:cs="Calibri"/>
          <w:b/>
          <w:bCs/>
          <w:lang w:val="lt-LT"/>
        </w:rPr>
      </w:pPr>
      <w:r>
        <w:rPr>
          <w:rFonts w:cs="Calibri"/>
          <w:b/>
          <w:bCs/>
          <w:lang w:val="lt-LT"/>
        </w:rPr>
      </w:r>
    </w:p>
    <w:p>
      <w:pPr>
        <w:pStyle w:val="Standard"/>
        <w:spacing w:lineRule="auto" w:line="240" w:before="0" w:after="0"/>
        <w:jc w:val="center"/>
        <w:rPr>
          <w:lang w:val="lt-LT"/>
        </w:rPr>
      </w:pPr>
      <w:r>
        <w:rPr>
          <w:rFonts w:cs="Calibri"/>
          <w:b/>
          <w:lang w:val="lt-LT"/>
        </w:rPr>
        <w:t>PASIŪLYMAS</w:t>
      </w:r>
    </w:p>
    <w:p>
      <w:pPr>
        <w:pStyle w:val="Standard"/>
        <w:spacing w:lineRule="auto" w:line="240" w:before="0" w:after="0"/>
        <w:jc w:val="center"/>
        <w:rPr>
          <w:lang w:val="lt-LT"/>
        </w:rPr>
      </w:pPr>
      <w:r>
        <w:rPr>
          <w:rFonts w:cs="Calibri"/>
          <w:b/>
          <w:lang w:val="lt-LT"/>
        </w:rPr>
        <w:t>DĖL PRIENŲ RAJONO PIRMINĖS SVEIKATOS PRIEŽIŪROS CENTRO REKONSTRAVIMO DARBŲ</w:t>
      </w:r>
    </w:p>
    <w:p>
      <w:pPr>
        <w:pStyle w:val="Standard"/>
        <w:spacing w:lineRule="auto" w:line="240" w:before="0" w:after="0"/>
        <w:jc w:val="center"/>
        <w:rPr>
          <w:lang w:val="lt-LT"/>
        </w:rPr>
      </w:pPr>
      <w:r>
        <w:rPr>
          <w:rFonts w:cs="Calibri"/>
          <w:lang w:val="lt-LT"/>
        </w:rPr>
        <w:t>2024 m. ____________________ d.</w:t>
      </w:r>
    </w:p>
    <w:p>
      <w:pPr>
        <w:pStyle w:val="Standard"/>
        <w:spacing w:lineRule="auto" w:line="240" w:before="0" w:after="0"/>
        <w:jc w:val="center"/>
        <w:rPr>
          <w:rFonts w:cs="Calibri"/>
          <w:lang w:val="lt-LT"/>
        </w:rPr>
      </w:pPr>
      <w:r>
        <w:rPr>
          <w:rFonts w:cs="Calibri"/>
          <w:lang w:val="lt-LT"/>
        </w:rPr>
      </w:r>
    </w:p>
    <w:p>
      <w:pPr>
        <w:pStyle w:val="Standard"/>
        <w:spacing w:lineRule="auto" w:line="240" w:before="0" w:after="0"/>
        <w:jc w:val="both"/>
        <w:rPr>
          <w:rFonts w:cs="Calibri"/>
          <w:b/>
          <w:bCs/>
          <w:lang w:val="lt-LT"/>
        </w:rPr>
      </w:pPr>
      <w:r>
        <w:rPr>
          <w:rFonts w:cs="Calibri"/>
          <w:b/>
          <w:bCs/>
          <w:lang w:val="lt-LT"/>
        </w:rPr>
      </w:r>
    </w:p>
    <w:p>
      <w:pPr>
        <w:pStyle w:val="Standard"/>
        <w:spacing w:lineRule="auto" w:line="240" w:before="0" w:after="0"/>
        <w:jc w:val="both"/>
        <w:rPr>
          <w:lang w:val="lt-LT"/>
        </w:rPr>
      </w:pPr>
      <w:r>
        <w:rPr>
          <w:rFonts w:cs="Calibri"/>
          <w:u w:val="single"/>
          <w:lang w:val="lt-LT"/>
        </w:rPr>
        <w:t>Prienų rajono savivaldybės administracijai</w:t>
      </w:r>
    </w:p>
    <w:p>
      <w:pPr>
        <w:pStyle w:val="Standard"/>
        <w:spacing w:lineRule="auto" w:line="240" w:before="0" w:after="0"/>
        <w:jc w:val="both"/>
        <w:rPr>
          <w:rFonts w:cs="Calibri"/>
          <w:u w:val="single"/>
          <w:lang w:val="lt-LT"/>
        </w:rPr>
      </w:pPr>
      <w:r>
        <w:rPr>
          <w:rFonts w:cs="Calibri"/>
          <w:u w:val="single"/>
          <w:lang w:val="lt-LT"/>
        </w:rPr>
      </w:r>
    </w:p>
    <w:p>
      <w:pPr>
        <w:pStyle w:val="Standard"/>
        <w:spacing w:lineRule="auto" w:line="240" w:before="0" w:after="0"/>
        <w:ind w:firstLine="567"/>
        <w:jc w:val="both"/>
        <w:rPr>
          <w:lang w:val="lt-LT"/>
        </w:rPr>
      </w:pPr>
      <w:r>
        <w:rPr>
          <w:rFonts w:cs="Calibri"/>
          <w:b/>
          <w:lang w:val="lt-LT"/>
        </w:rPr>
        <w:t>1. Informacija apie rangovą</w:t>
      </w:r>
    </w:p>
    <w:tbl>
      <w:tblPr>
        <w:tblW w:w="9918" w:type="dxa"/>
        <w:jc w:val="left"/>
        <w:tblInd w:w="343" w:type="dxa"/>
        <w:tblLayout w:type="fixed"/>
        <w:tblCellMar>
          <w:top w:w="0" w:type="dxa"/>
          <w:left w:w="108" w:type="dxa"/>
          <w:bottom w:w="0" w:type="dxa"/>
          <w:right w:w="108" w:type="dxa"/>
        </w:tblCellMar>
        <w:tblLook w:firstRow="1" w:noVBand="1" w:lastRow="0" w:firstColumn="1" w:lastColumn="0" w:noHBand="0" w:val="04a0"/>
      </w:tblPr>
      <w:tblGrid>
        <w:gridCol w:w="5270"/>
        <w:gridCol w:w="4647"/>
      </w:tblGrid>
      <w:tr>
        <w:trPr>
          <w:trHeight w:val="195" w:hRule="atLeast"/>
        </w:trPr>
        <w:tc>
          <w:tcPr>
            <w:tcW w:w="527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cs="Calibri"/>
                <w:lang w:val="lt-LT"/>
              </w:rPr>
              <w:t>Rangovo arba ūkio subjektų grupės narių pavadinimas (-ai)</w:t>
            </w:r>
          </w:p>
        </w:tc>
        <w:tc>
          <w:tcPr>
            <w:tcW w:w="4647"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cs="Calibri"/>
                <w:lang w:val="lt-LT"/>
              </w:rPr>
            </w:pPr>
            <w:r>
              <w:rPr>
                <w:rFonts w:cs="Calibri"/>
                <w:lang w:val="lt-LT"/>
              </w:rPr>
            </w:r>
          </w:p>
        </w:tc>
      </w:tr>
      <w:tr>
        <w:trPr/>
        <w:tc>
          <w:tcPr>
            <w:tcW w:w="527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cs="Calibri"/>
                <w:lang w:val="lt-LT"/>
              </w:rPr>
              <w:t>Rangovo arba ūkio subjektų grupės narių juridinio asmens kodas (-ai) (tuo atveju, jei pasiūlymą teikia fizinis asmuo - verslo pažymėjimo Nr. ar pan.)</w:t>
            </w:r>
          </w:p>
        </w:tc>
        <w:tc>
          <w:tcPr>
            <w:tcW w:w="4647"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cs="Calibri"/>
                <w:lang w:val="lt-LT"/>
              </w:rPr>
            </w:pPr>
            <w:r>
              <w:rPr>
                <w:rFonts w:cs="Calibri"/>
                <w:lang w:val="lt-LT"/>
              </w:rPr>
            </w:r>
          </w:p>
        </w:tc>
      </w:tr>
      <w:tr>
        <w:trPr/>
        <w:tc>
          <w:tcPr>
            <w:tcW w:w="527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cs="Calibri"/>
                <w:lang w:val="lt-LT"/>
              </w:rPr>
              <w:t>PVM mokėtojo kodas</w:t>
            </w:r>
          </w:p>
        </w:tc>
        <w:tc>
          <w:tcPr>
            <w:tcW w:w="4647"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cs="Calibri"/>
                <w:lang w:val="lt-LT"/>
              </w:rPr>
            </w:pPr>
            <w:r>
              <w:rPr>
                <w:rFonts w:cs="Calibri"/>
                <w:lang w:val="lt-LT"/>
              </w:rPr>
            </w:r>
          </w:p>
        </w:tc>
      </w:tr>
      <w:tr>
        <w:trPr/>
        <w:tc>
          <w:tcPr>
            <w:tcW w:w="527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cs="Calibri"/>
                <w:lang w:val="lt-LT"/>
              </w:rPr>
              <w:t>Ūkio subjektų grupės narys, atstovaujantis grupei (pildoma, jei pasiūlymą teikia ūkio subjektų grupė)</w:t>
            </w:r>
          </w:p>
        </w:tc>
        <w:tc>
          <w:tcPr>
            <w:tcW w:w="4647"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cs="Calibri"/>
                <w:lang w:val="lt-LT"/>
              </w:rPr>
            </w:pPr>
            <w:r>
              <w:rPr>
                <w:rFonts w:cs="Calibri"/>
                <w:lang w:val="lt-LT"/>
              </w:rPr>
            </w:r>
          </w:p>
        </w:tc>
      </w:tr>
      <w:tr>
        <w:trPr/>
        <w:tc>
          <w:tcPr>
            <w:tcW w:w="527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cs="Calibri"/>
                <w:lang w:val="lt-LT"/>
              </w:rPr>
              <w:t>Rangovo adresas (jeigu dalyvauja ūkio subjektų grupė, surašomi visi dalyvių adresai)</w:t>
            </w:r>
          </w:p>
        </w:tc>
        <w:tc>
          <w:tcPr>
            <w:tcW w:w="4647"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cs="Calibri"/>
                <w:lang w:val="lt-LT"/>
              </w:rPr>
            </w:pPr>
            <w:r>
              <w:rPr>
                <w:rFonts w:cs="Calibri"/>
                <w:lang w:val="lt-LT"/>
              </w:rPr>
            </w:r>
          </w:p>
        </w:tc>
      </w:tr>
      <w:tr>
        <w:trPr/>
        <w:tc>
          <w:tcPr>
            <w:tcW w:w="527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cs="Calibri"/>
                <w:lang w:val="lt-LT"/>
              </w:rPr>
              <w:t>Atsiskaitomosios sąskaitos numeris, bankas, banko kodas</w:t>
            </w:r>
          </w:p>
        </w:tc>
        <w:tc>
          <w:tcPr>
            <w:tcW w:w="4647"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cs="Calibri"/>
                <w:lang w:val="lt-LT"/>
              </w:rPr>
            </w:pPr>
            <w:r>
              <w:rPr>
                <w:rFonts w:cs="Calibri"/>
                <w:lang w:val="lt-LT"/>
              </w:rPr>
            </w:r>
          </w:p>
        </w:tc>
      </w:tr>
      <w:tr>
        <w:trPr/>
        <w:tc>
          <w:tcPr>
            <w:tcW w:w="527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cs="Calibri"/>
                <w:lang w:val="lt-LT"/>
              </w:rPr>
              <w:t>Įmonės vadovo pareigos, vardas, pavardė</w:t>
            </w:r>
          </w:p>
        </w:tc>
        <w:tc>
          <w:tcPr>
            <w:tcW w:w="4647"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cs="Calibri"/>
                <w:lang w:val="lt-LT"/>
              </w:rPr>
            </w:pPr>
            <w:r>
              <w:rPr>
                <w:rFonts w:cs="Calibri"/>
                <w:lang w:val="lt-LT"/>
              </w:rPr>
            </w:r>
          </w:p>
        </w:tc>
      </w:tr>
      <w:tr>
        <w:trPr/>
        <w:tc>
          <w:tcPr>
            <w:tcW w:w="527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cs="Calibri"/>
                <w:lang w:val="lt-LT"/>
              </w:rPr>
              <w:t>Už pasiūlymą atsakingo asmens pareigos, vardas, pavardė, telefono numeris, el. pašto adresas</w:t>
            </w:r>
          </w:p>
        </w:tc>
        <w:tc>
          <w:tcPr>
            <w:tcW w:w="4647"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cs="Calibri"/>
                <w:lang w:val="lt-LT"/>
              </w:rPr>
            </w:pPr>
            <w:r>
              <w:rPr>
                <w:rFonts w:cs="Calibri"/>
                <w:lang w:val="lt-LT"/>
              </w:rPr>
            </w:r>
          </w:p>
        </w:tc>
      </w:tr>
      <w:tr>
        <w:trPr/>
        <w:tc>
          <w:tcPr>
            <w:tcW w:w="527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cs="Calibri"/>
                <w:lang w:val="lt-LT"/>
              </w:rPr>
              <w:t>Už sutarties vykdymą atsakingo asmens pareigos, vardas, pavardė, telefono numeris, el. pašto adresas</w:t>
            </w:r>
          </w:p>
        </w:tc>
        <w:tc>
          <w:tcPr>
            <w:tcW w:w="4647"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cs="Calibri"/>
                <w:lang w:val="lt-LT"/>
              </w:rPr>
            </w:pPr>
            <w:r>
              <w:rPr>
                <w:rFonts w:cs="Calibri"/>
                <w:lang w:val="lt-LT"/>
              </w:rPr>
            </w:r>
          </w:p>
        </w:tc>
      </w:tr>
      <w:tr>
        <w:trPr/>
        <w:tc>
          <w:tcPr>
            <w:tcW w:w="527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cs="Calibri"/>
                <w:lang w:val="lt-LT"/>
              </w:rPr>
              <w:t>Sutartį Rangovas galės pasirašyti elektroniniu parašu (Taip/Ne)</w:t>
            </w:r>
          </w:p>
        </w:tc>
        <w:tc>
          <w:tcPr>
            <w:tcW w:w="4647"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cs="Calibri"/>
                <w:lang w:val="lt-LT"/>
              </w:rPr>
            </w:pPr>
            <w:r>
              <w:rPr>
                <w:rFonts w:cs="Calibri"/>
                <w:lang w:val="lt-LT"/>
              </w:rPr>
            </w:r>
          </w:p>
        </w:tc>
      </w:tr>
      <w:tr>
        <w:trPr/>
        <w:tc>
          <w:tcPr>
            <w:tcW w:w="527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lang w:val="lt-LT"/>
              </w:rPr>
            </w:pPr>
            <w:r>
              <w:rPr>
                <w:rFonts w:cs="Calibri"/>
                <w:lang w:val="lt-LT"/>
              </w:rPr>
              <w:t>Sutartį pasirašančio asmens pareigos, vardas, pavardė</w:t>
            </w:r>
          </w:p>
        </w:tc>
        <w:tc>
          <w:tcPr>
            <w:tcW w:w="4647"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cs="Calibri"/>
                <w:lang w:val="lt-LT"/>
              </w:rPr>
            </w:pPr>
            <w:r>
              <w:rPr>
                <w:rFonts w:cs="Calibri"/>
                <w:lang w:val="lt-LT"/>
              </w:rPr>
            </w:r>
          </w:p>
        </w:tc>
      </w:tr>
    </w:tbl>
    <w:p>
      <w:pPr>
        <w:pStyle w:val="Standard"/>
        <w:spacing w:lineRule="auto" w:line="240" w:before="0" w:after="0"/>
        <w:jc w:val="both"/>
        <w:rPr>
          <w:rFonts w:cs="Calibri"/>
          <w:lang w:val="lt-LT"/>
        </w:rPr>
      </w:pPr>
      <w:r>
        <w:rPr>
          <w:rFonts w:cs="Calibri"/>
          <w:lang w:val="lt-LT"/>
        </w:rPr>
      </w:r>
    </w:p>
    <w:p>
      <w:pPr>
        <w:pStyle w:val="Standard"/>
        <w:suppressAutoHyphens w:val="false"/>
        <w:spacing w:lineRule="auto" w:line="240" w:before="0" w:after="0"/>
        <w:ind w:firstLine="567"/>
        <w:rPr>
          <w:lang w:val="lt-LT"/>
        </w:rPr>
      </w:pPr>
      <w:r>
        <w:rPr>
          <w:rFonts w:eastAsia="Times New Roman" w:cs="Calibri"/>
          <w:color w:val="000000"/>
          <w:sz w:val="20"/>
          <w:szCs w:val="20"/>
          <w:lang w:val="lt-LT"/>
        </w:rPr>
        <w:t>1.1. Šiuo pasiūlymu pažymime, kad sutinkame su visomis pirkimo sąlygomis, nustatytomis:</w:t>
      </w:r>
    </w:p>
    <w:p>
      <w:pPr>
        <w:pStyle w:val="Standard"/>
        <w:suppressAutoHyphens w:val="false"/>
        <w:spacing w:lineRule="auto" w:line="240" w:before="0" w:after="0"/>
        <w:ind w:firstLine="567"/>
        <w:rPr>
          <w:lang w:val="lt-LT"/>
        </w:rPr>
      </w:pPr>
      <w:r>
        <w:rPr>
          <w:rFonts w:eastAsia="Times New Roman" w:cs="Calibri"/>
          <w:color w:val="000000"/>
          <w:sz w:val="20"/>
          <w:szCs w:val="20"/>
          <w:lang w:val="lt-LT"/>
        </w:rPr>
        <w:t>1.1.1. skelbime apie pirkimą;</w:t>
      </w:r>
    </w:p>
    <w:p>
      <w:pPr>
        <w:pStyle w:val="Standard"/>
        <w:suppressAutoHyphens w:val="false"/>
        <w:spacing w:lineRule="auto" w:line="240" w:before="0" w:after="0"/>
        <w:ind w:firstLine="567"/>
        <w:rPr>
          <w:lang w:val="lt-LT"/>
        </w:rPr>
      </w:pPr>
      <w:r>
        <w:rPr>
          <w:rFonts w:eastAsia="Times New Roman" w:cs="Calibri"/>
          <w:color w:val="000000"/>
          <w:sz w:val="20"/>
          <w:szCs w:val="20"/>
          <w:lang w:val="lt-LT"/>
        </w:rPr>
        <w:t>1.1.2. konkurso bendrosiose ir specialiosiose sąlygose (kartu su priedais);</w:t>
      </w:r>
    </w:p>
    <w:p>
      <w:pPr>
        <w:pStyle w:val="Standard"/>
        <w:suppressAutoHyphens w:val="false"/>
        <w:spacing w:lineRule="auto" w:line="240" w:before="0" w:after="0"/>
        <w:ind w:firstLine="567"/>
        <w:rPr>
          <w:lang w:val="lt-LT"/>
        </w:rPr>
      </w:pPr>
      <w:r>
        <w:rPr>
          <w:rFonts w:eastAsia="Times New Roman" w:cs="Calibri"/>
          <w:color w:val="000000"/>
          <w:sz w:val="20"/>
          <w:szCs w:val="20"/>
          <w:lang w:val="lt-LT"/>
        </w:rPr>
        <w:t>1.1.3. dokumentų paaiškinimuose (patikslinimuose), taip pat atsakymuose į rangovų klausimus (jei tokių bus);</w:t>
      </w:r>
    </w:p>
    <w:p>
      <w:pPr>
        <w:pStyle w:val="Standard"/>
        <w:suppressAutoHyphens w:val="false"/>
        <w:spacing w:lineRule="auto" w:line="240" w:before="0" w:after="0"/>
        <w:ind w:firstLine="567"/>
        <w:rPr>
          <w:lang w:val="lt-LT"/>
        </w:rPr>
      </w:pPr>
      <w:r>
        <w:rPr>
          <w:rFonts w:eastAsia="Times New Roman" w:cs="Calibri"/>
          <w:color w:val="000000"/>
          <w:sz w:val="20"/>
          <w:szCs w:val="20"/>
          <w:lang w:val="lt-LT"/>
        </w:rPr>
        <w:t>1.1.4. kituose CVP IS priemonėmis pateiktuose dokumentuose.</w:t>
      </w:r>
    </w:p>
    <w:p>
      <w:pPr>
        <w:pStyle w:val="Standard"/>
        <w:suppressAutoHyphens w:val="false"/>
        <w:spacing w:lineRule="auto" w:line="240" w:before="0" w:after="0"/>
        <w:ind w:firstLine="567"/>
        <w:rPr>
          <w:lang w:val="lt-LT"/>
        </w:rPr>
      </w:pPr>
      <w:r>
        <w:rPr>
          <w:rFonts w:eastAsia="Times New Roman" w:cs="Calibri"/>
          <w:color w:val="000000"/>
          <w:sz w:val="20"/>
          <w:szCs w:val="20"/>
          <w:lang w:val="lt-LT"/>
        </w:rPr>
        <w:t>1.2. Pateikdami CVP IS priemonėmis pasiūlymą, patvirtiname, kad dokumentų skaitmeninės kopijos ir elektroninėmis priemonėmis pateikti duomenys yra tikri.</w:t>
      </w:r>
    </w:p>
    <w:p>
      <w:pPr>
        <w:pStyle w:val="Standard"/>
        <w:suppressAutoHyphens w:val="false"/>
        <w:spacing w:lineRule="auto" w:line="240" w:before="0" w:after="0"/>
        <w:ind w:firstLine="567"/>
        <w:rPr>
          <w:lang w:val="lt-LT"/>
        </w:rPr>
      </w:pPr>
      <w:r>
        <w:rPr>
          <w:rFonts w:eastAsia="Times New Roman" w:cs="Calibri"/>
          <w:color w:val="000000"/>
          <w:sz w:val="20"/>
          <w:szCs w:val="20"/>
          <w:lang w:val="lt-LT"/>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pPr>
        <w:pStyle w:val="Standard"/>
        <w:suppressAutoHyphens w:val="false"/>
        <w:spacing w:lineRule="auto" w:line="240" w:before="0" w:after="0"/>
        <w:ind w:firstLine="567"/>
        <w:rPr>
          <w:lang w:val="lt-LT"/>
        </w:rPr>
      </w:pPr>
      <w:r>
        <w:rPr>
          <w:rFonts w:eastAsia="Times New Roman" w:cs="Calibri"/>
          <w:color w:val="000000"/>
          <w:sz w:val="20"/>
          <w:szCs w:val="20"/>
          <w:lang w:val="lt-LT"/>
        </w:rPr>
        <w:t>1.4. Pasiūlymas galioja ne trumpiau nei 90 kalendorinių dienų nuo paskutinės pasiūlymo pateikimo dienos, neįskaitant paskutinės pasiūlymo pateikimo dienos.</w:t>
      </w:r>
    </w:p>
    <w:p>
      <w:pPr>
        <w:pStyle w:val="Standard"/>
        <w:suppressAutoHyphens w:val="false"/>
        <w:spacing w:lineRule="auto" w:line="240" w:before="0" w:after="0"/>
        <w:ind w:firstLine="567"/>
        <w:rPr>
          <w:lang w:val="lt-LT"/>
        </w:rPr>
      </w:pPr>
      <w:r>
        <w:rPr>
          <w:rFonts w:eastAsia="Times New Roman" w:cs="Calibri"/>
          <w:color w:val="000000"/>
          <w:sz w:val="20"/>
          <w:szCs w:val="20"/>
          <w:lang w:val="lt-LT"/>
        </w:rPr>
        <w:t>1.5. Patvirtiname, kad visa mūsų pasiūlyme pateikta informacija yra teisinga ir kad mes nenuslėpėme jokios informacijos, kurią buvo prašoma pateikti pirkimo dokumentuose.</w:t>
      </w:r>
    </w:p>
    <w:p>
      <w:pPr>
        <w:pStyle w:val="Standard"/>
        <w:suppressAutoHyphens w:val="false"/>
        <w:spacing w:lineRule="auto" w:line="240" w:before="0" w:after="0"/>
        <w:ind w:firstLine="567"/>
        <w:jc w:val="both"/>
        <w:rPr>
          <w:lang w:val="lt-LT"/>
        </w:rPr>
      </w:pPr>
      <w:r>
        <w:rPr>
          <w:rFonts w:eastAsia="Times New Roman" w:cs="Calibri"/>
          <w:color w:val="000000"/>
          <w:sz w:val="20"/>
          <w:szCs w:val="20"/>
          <w:lang w:val="lt-LT"/>
        </w:rPr>
        <w:t>1.6. Patvirtiname, kad:</w:t>
      </w:r>
    </w:p>
    <w:p>
      <w:pPr>
        <w:pStyle w:val="Standard"/>
        <w:suppressAutoHyphens w:val="false"/>
        <w:spacing w:lineRule="auto" w:line="240" w:before="0" w:after="0"/>
        <w:ind w:firstLine="567"/>
        <w:jc w:val="both"/>
        <w:rPr>
          <w:lang w:val="lt-LT"/>
        </w:rPr>
      </w:pPr>
      <w:r>
        <w:rPr>
          <w:rFonts w:eastAsia="Times New Roman" w:cs="Calibri"/>
          <w:color w:val="000000"/>
          <w:sz w:val="20"/>
          <w:szCs w:val="20"/>
          <w:lang w:val="lt-LT"/>
        </w:rPr>
        <w:t xml:space="preserve">1.6.1. Tiekėjo ar jo nurodytų subtiekėjų (nepriklausomai nuo to, remiamasi ar ne jų pajėgumais) lėšų gavėjo tikrasis (-ieji) savininkas (-ai) yra / nėra </w:t>
      </w:r>
      <w:r>
        <w:rPr>
          <w:rFonts w:eastAsia="Times New Roman" w:cs="Calibri"/>
          <w:i/>
          <w:color w:val="000000"/>
          <w:sz w:val="20"/>
          <w:szCs w:val="20"/>
          <w:lang w:val="lt-LT"/>
        </w:rPr>
        <w:t>(nereikalingą išbraukti)</w:t>
      </w:r>
      <w:r>
        <w:rPr>
          <w:rFonts w:eastAsia="Times New Roman" w:cs="Calibri"/>
          <w:color w:val="000000"/>
          <w:sz w:val="20"/>
          <w:szCs w:val="20"/>
          <w:lang w:val="lt-LT"/>
        </w:rPr>
        <w:t xml:space="preserve"> užsienietis (fizinis asmuo) ar užsienyje registruotas juridinis asmuo, arba</w:t>
      </w:r>
    </w:p>
    <w:p>
      <w:pPr>
        <w:pStyle w:val="Standard"/>
        <w:suppressAutoHyphens w:val="false"/>
        <w:spacing w:lineRule="auto" w:line="240" w:before="0" w:after="0"/>
        <w:ind w:firstLine="567"/>
        <w:jc w:val="both"/>
        <w:rPr>
          <w:lang w:val="lt-LT"/>
        </w:rPr>
      </w:pPr>
      <w:r>
        <w:rPr>
          <w:rFonts w:eastAsia="Times New Roman" w:cs="Calibri"/>
          <w:color w:val="000000"/>
          <w:sz w:val="20"/>
          <w:szCs w:val="20"/>
          <w:lang w:val="lt-LT"/>
        </w:rPr>
        <w:t xml:space="preserve">1.6.2. Tiekėjas, subtiekėjas (nepriklausomai nuo to, remiamasi ar ne jų pajėgumais), yra / nėra </w:t>
      </w:r>
      <w:r>
        <w:rPr>
          <w:rFonts w:eastAsia="Times New Roman" w:cs="Calibri"/>
          <w:i/>
          <w:color w:val="000000"/>
          <w:sz w:val="20"/>
          <w:szCs w:val="20"/>
          <w:lang w:val="lt-LT"/>
        </w:rPr>
        <w:t>(nereikalingą išbraukti)</w:t>
      </w:r>
      <w:r>
        <w:rPr>
          <w:rFonts w:eastAsia="Times New Roman" w:cs="Calibri"/>
          <w:color w:val="000000"/>
          <w:sz w:val="20"/>
          <w:szCs w:val="20"/>
          <w:lang w:val="lt-LT"/>
        </w:rPr>
        <w:t xml:space="preserve"> užsienietis (fizinis asmuo).</w:t>
      </w:r>
    </w:p>
    <w:p>
      <w:pPr>
        <w:pStyle w:val="Standard"/>
        <w:suppressAutoHyphens w:val="false"/>
        <w:spacing w:lineRule="auto" w:line="240" w:before="0" w:after="0"/>
        <w:ind w:firstLine="567"/>
        <w:jc w:val="both"/>
        <w:rPr>
          <w:rFonts w:eastAsia="Times New Roman" w:cs="Calibri"/>
          <w:color w:val="000000"/>
          <w:sz w:val="20"/>
          <w:szCs w:val="20"/>
          <w:lang w:val="lt-LT"/>
        </w:rPr>
      </w:pPr>
      <w:r>
        <w:rPr>
          <w:rFonts w:eastAsia="Times New Roman" w:cs="Calibri"/>
          <w:color w:val="000000"/>
          <w:sz w:val="20"/>
          <w:szCs w:val="20"/>
          <w:lang w:val="lt-LT"/>
        </w:rPr>
      </w:r>
    </w:p>
    <w:p>
      <w:pPr>
        <w:pStyle w:val="Standard"/>
        <w:suppressAutoHyphens w:val="false"/>
        <w:spacing w:lineRule="auto" w:line="240" w:before="0" w:after="0"/>
        <w:ind w:firstLine="567"/>
        <w:jc w:val="both"/>
        <w:rPr>
          <w:lang w:val="lt-LT"/>
        </w:rPr>
      </w:pPr>
      <w:r>
        <w:rPr>
          <w:rFonts w:eastAsia="Times New Roman" w:cs="Calibri"/>
          <w:i/>
          <w:color w:val="000000"/>
          <w:sz w:val="20"/>
          <w:szCs w:val="20"/>
          <w:lang w:val="lt-LT"/>
        </w:rPr>
        <w:t>Tuo atveju, jei tiekėjo ar jo nurodytų subtiekėjų (nepriklausomai nuo to, remiamasi ar ne jų pajėgumais) lėšų gavėjo tikrasis (-ieji) savininkas (-ai) yra užsienietis (fizinis asmuo) ar užsienyje registruotas juridinis asmuo arba tiekėjas, subtiekėjas (nepriklausomai nuo to, remiamasi ar ne jų pajėgumais),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pPr>
        <w:pStyle w:val="Standard"/>
        <w:spacing w:lineRule="auto" w:line="240" w:before="0" w:after="0"/>
        <w:jc w:val="both"/>
        <w:rPr>
          <w:rFonts w:cs="Calibri"/>
          <w:lang w:val="lt-LT"/>
        </w:rPr>
      </w:pPr>
      <w:r>
        <w:rPr>
          <w:rFonts w:cs="Calibri"/>
          <w:lang w:val="lt-LT"/>
        </w:rPr>
      </w:r>
    </w:p>
    <w:p>
      <w:pPr>
        <w:pStyle w:val="Standard"/>
        <w:spacing w:lineRule="auto" w:line="240" w:before="0" w:after="0"/>
        <w:ind w:firstLine="567"/>
        <w:jc w:val="both"/>
        <w:rPr>
          <w:lang w:val="lt-LT"/>
        </w:rPr>
      </w:pPr>
      <w:r>
        <w:rPr>
          <w:rFonts w:cs="Calibri"/>
          <w:b/>
          <w:lang w:val="lt-LT"/>
        </w:rPr>
        <w:t xml:space="preserve">2. Pasiūlymo kaina </w:t>
      </w:r>
    </w:p>
    <w:tbl>
      <w:tblPr>
        <w:tblStyle w:val="Lentelstinklelis"/>
        <w:tblW w:w="9895"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475"/>
        <w:gridCol w:w="7620"/>
        <w:gridCol w:w="1800"/>
      </w:tblGrid>
      <w:tr>
        <w:trPr/>
        <w:tc>
          <w:tcPr>
            <w:tcW w:w="475" w:type="dxa"/>
            <w:tcBorders/>
          </w:tcPr>
          <w:p>
            <w:pPr>
              <w:pStyle w:val="Standard"/>
              <w:widowControl/>
              <w:suppressAutoHyphens w:val="true"/>
              <w:spacing w:lineRule="auto" w:line="240" w:before="0" w:after="0"/>
              <w:jc w:val="both"/>
              <w:rPr>
                <w:rFonts w:ascii="Calibri" w:hAnsi="Calibri" w:eastAsia="Segoe UI" w:cs="Tahoma"/>
                <w:kern w:val="0"/>
                <w:sz w:val="21"/>
                <w:szCs w:val="21"/>
                <w:lang w:val="lt-LT" w:eastAsia="lt-LT" w:bidi="ar-SA"/>
              </w:rPr>
            </w:pPr>
            <w:r>
              <w:rPr>
                <w:rFonts w:eastAsia="Segoe UI" w:cs="Calibri"/>
                <w:kern w:val="0"/>
                <w:sz w:val="21"/>
                <w:szCs w:val="21"/>
                <w:lang w:val="lt-LT" w:eastAsia="lt-LT" w:bidi="ar-SA"/>
              </w:rPr>
              <w:t>Eil. Nr.</w:t>
            </w:r>
          </w:p>
        </w:tc>
        <w:tc>
          <w:tcPr>
            <w:tcW w:w="7620" w:type="dxa"/>
            <w:tcBorders/>
          </w:tcPr>
          <w:p>
            <w:pPr>
              <w:pStyle w:val="Standard"/>
              <w:widowControl/>
              <w:suppressAutoHyphens w:val="true"/>
              <w:spacing w:lineRule="auto" w:line="240" w:before="0" w:after="0"/>
              <w:jc w:val="both"/>
              <w:rPr>
                <w:rFonts w:ascii="Calibri" w:hAnsi="Calibri" w:eastAsia="Segoe UI" w:cs="Tahoma"/>
                <w:kern w:val="0"/>
                <w:sz w:val="21"/>
                <w:szCs w:val="21"/>
                <w:lang w:val="lt-LT" w:eastAsia="lt-LT" w:bidi="ar-SA"/>
              </w:rPr>
            </w:pPr>
            <w:r>
              <w:rPr>
                <w:rFonts w:eastAsia="Segoe UI" w:cs="Calibri"/>
                <w:kern w:val="0"/>
                <w:sz w:val="21"/>
                <w:szCs w:val="21"/>
                <w:lang w:val="lt-LT" w:eastAsia="lt-LT" w:bidi="ar-SA"/>
              </w:rPr>
              <w:t>Darbų pavadinimas</w:t>
            </w:r>
          </w:p>
        </w:tc>
        <w:tc>
          <w:tcPr>
            <w:tcW w:w="1800" w:type="dxa"/>
            <w:tcBorders/>
          </w:tcPr>
          <w:p>
            <w:pPr>
              <w:pStyle w:val="Standard"/>
              <w:widowControl/>
              <w:suppressAutoHyphens w:val="true"/>
              <w:spacing w:lineRule="auto" w:line="240" w:before="0" w:after="0"/>
              <w:jc w:val="both"/>
              <w:rPr>
                <w:rFonts w:ascii="Calibri" w:hAnsi="Calibri" w:eastAsia="Segoe UI" w:cs="Tahoma"/>
                <w:kern w:val="0"/>
                <w:sz w:val="21"/>
                <w:szCs w:val="21"/>
                <w:lang w:val="lt-LT" w:eastAsia="lt-LT" w:bidi="ar-SA"/>
              </w:rPr>
            </w:pPr>
            <w:r>
              <w:rPr>
                <w:rFonts w:eastAsia="Segoe UI" w:cs="Calibri"/>
                <w:kern w:val="0"/>
                <w:sz w:val="21"/>
                <w:szCs w:val="21"/>
                <w:lang w:val="lt-LT" w:eastAsia="lt-LT" w:bidi="ar-SA"/>
              </w:rPr>
              <w:t>Kaina Eur be PVM</w:t>
            </w:r>
          </w:p>
        </w:tc>
      </w:tr>
      <w:tr>
        <w:trPr/>
        <w:tc>
          <w:tcPr>
            <w:tcW w:w="475" w:type="dxa"/>
            <w:tcBorders/>
          </w:tcPr>
          <w:p>
            <w:pPr>
              <w:pStyle w:val="Standard"/>
              <w:widowControl/>
              <w:suppressAutoHyphens w:val="true"/>
              <w:spacing w:lineRule="auto" w:line="240" w:before="0" w:after="0"/>
              <w:jc w:val="both"/>
              <w:rPr>
                <w:rFonts w:ascii="Calibri" w:hAnsi="Calibri" w:eastAsia="Segoe UI" w:cs="Tahoma"/>
                <w:kern w:val="0"/>
                <w:sz w:val="21"/>
                <w:szCs w:val="21"/>
                <w:lang w:val="lt-LT" w:eastAsia="lt-LT" w:bidi="ar-SA"/>
              </w:rPr>
            </w:pPr>
            <w:r>
              <w:rPr>
                <w:rFonts w:eastAsia="Segoe UI" w:cs="Calibri"/>
                <w:kern w:val="0"/>
                <w:sz w:val="21"/>
                <w:szCs w:val="21"/>
                <w:lang w:val="lt-LT" w:eastAsia="lt-LT" w:bidi="ar-SA"/>
              </w:rPr>
              <w:t>1.</w:t>
            </w:r>
          </w:p>
        </w:tc>
        <w:tc>
          <w:tcPr>
            <w:tcW w:w="7620" w:type="dxa"/>
            <w:tcBorders/>
          </w:tcPr>
          <w:p>
            <w:pPr>
              <w:pStyle w:val="Standard"/>
              <w:widowControl/>
              <w:suppressAutoHyphens w:val="true"/>
              <w:spacing w:lineRule="auto" w:line="240" w:before="0" w:after="0"/>
              <w:jc w:val="both"/>
              <w:rPr>
                <w:rFonts w:ascii="Calibri" w:hAnsi="Calibri" w:eastAsia="Segoe UI" w:cs="Tahoma"/>
                <w:kern w:val="0"/>
                <w:sz w:val="21"/>
                <w:szCs w:val="21"/>
                <w:lang w:val="lt-LT" w:eastAsia="lt-LT" w:bidi="ar-SA"/>
              </w:rPr>
            </w:pPr>
            <w:r>
              <w:rPr>
                <w:rFonts w:eastAsia="Segoe UI" w:cs="Calibri"/>
                <w:kern w:val="0"/>
                <w:sz w:val="21"/>
                <w:szCs w:val="21"/>
                <w:lang w:val="lt-LT" w:eastAsia="lt-LT" w:bidi="ar-SA"/>
              </w:rPr>
              <w:t>Rekonstravimo darbai ir su jais susijusios paslaugos</w:t>
            </w:r>
          </w:p>
        </w:tc>
        <w:tc>
          <w:tcPr>
            <w:tcW w:w="1800" w:type="dxa"/>
            <w:tcBorders/>
          </w:tcPr>
          <w:p>
            <w:pPr>
              <w:pStyle w:val="Standard"/>
              <w:widowControl/>
              <w:suppressAutoHyphens w:val="true"/>
              <w:spacing w:lineRule="auto" w:line="240" w:before="0" w:after="0"/>
              <w:jc w:val="both"/>
              <w:rPr>
                <w:rFonts w:ascii="Calibri" w:hAnsi="Calibri" w:eastAsia="Segoe UI" w:cs="Calibri"/>
                <w:kern w:val="0"/>
                <w:sz w:val="21"/>
                <w:szCs w:val="21"/>
                <w:lang w:val="lt-LT" w:eastAsia="lt-LT" w:bidi="ar-SA"/>
              </w:rPr>
            </w:pPr>
            <w:r>
              <w:rPr>
                <w:rFonts w:eastAsia="Segoe UI" w:cs="Calibri"/>
                <w:kern w:val="0"/>
                <w:sz w:val="21"/>
                <w:szCs w:val="21"/>
                <w:lang w:val="lt-LT" w:eastAsia="lt-LT" w:bidi="ar-SA"/>
              </w:rPr>
            </w:r>
          </w:p>
        </w:tc>
      </w:tr>
      <w:tr>
        <w:trPr/>
        <w:tc>
          <w:tcPr>
            <w:tcW w:w="8095" w:type="dxa"/>
            <w:gridSpan w:val="2"/>
            <w:tcBorders/>
          </w:tcPr>
          <w:p>
            <w:pPr>
              <w:pStyle w:val="Standard"/>
              <w:widowControl/>
              <w:suppressAutoHyphens w:val="true"/>
              <w:spacing w:lineRule="auto" w:line="240" w:before="0" w:after="0"/>
              <w:jc w:val="right"/>
              <w:rPr>
                <w:rFonts w:ascii="Calibri" w:hAnsi="Calibri" w:eastAsia="Segoe UI" w:cs="Tahoma"/>
                <w:kern w:val="0"/>
                <w:sz w:val="21"/>
                <w:szCs w:val="21"/>
                <w:lang w:val="lt-LT" w:eastAsia="lt-LT" w:bidi="ar-SA"/>
              </w:rPr>
            </w:pPr>
            <w:r>
              <w:rPr>
                <w:rFonts w:eastAsia="Segoe UI" w:cs="Calibri"/>
                <w:b/>
                <w:kern w:val="0"/>
                <w:sz w:val="21"/>
                <w:szCs w:val="21"/>
                <w:lang w:val="lt-LT" w:eastAsia="lt-LT" w:bidi="ar-SA"/>
              </w:rPr>
              <w:t>PVM (_____proc.) suma</w:t>
            </w:r>
          </w:p>
        </w:tc>
        <w:tc>
          <w:tcPr>
            <w:tcW w:w="1800" w:type="dxa"/>
            <w:tcBorders/>
          </w:tcPr>
          <w:p>
            <w:pPr>
              <w:pStyle w:val="Standard"/>
              <w:widowControl/>
              <w:suppressAutoHyphens w:val="true"/>
              <w:spacing w:lineRule="auto" w:line="240" w:before="0" w:after="0"/>
              <w:jc w:val="both"/>
              <w:rPr>
                <w:rFonts w:ascii="Calibri" w:hAnsi="Calibri" w:eastAsia="Segoe UI" w:cs="Calibri"/>
                <w:b/>
                <w:kern w:val="0"/>
                <w:sz w:val="21"/>
                <w:szCs w:val="21"/>
                <w:lang w:val="lt-LT" w:eastAsia="lt-LT" w:bidi="ar-SA"/>
              </w:rPr>
            </w:pPr>
            <w:r>
              <w:rPr>
                <w:rFonts w:eastAsia="Segoe UI" w:cs="Calibri"/>
                <w:b/>
                <w:kern w:val="0"/>
                <w:sz w:val="21"/>
                <w:szCs w:val="21"/>
                <w:lang w:val="lt-LT" w:eastAsia="lt-LT" w:bidi="ar-SA"/>
              </w:rPr>
            </w:r>
          </w:p>
        </w:tc>
      </w:tr>
      <w:tr>
        <w:trPr/>
        <w:tc>
          <w:tcPr>
            <w:tcW w:w="8095" w:type="dxa"/>
            <w:gridSpan w:val="2"/>
            <w:tcBorders/>
          </w:tcPr>
          <w:p>
            <w:pPr>
              <w:pStyle w:val="Standard"/>
              <w:widowControl/>
              <w:suppressAutoHyphens w:val="true"/>
              <w:spacing w:lineRule="auto" w:line="240" w:before="0" w:after="0"/>
              <w:jc w:val="right"/>
              <w:rPr>
                <w:rFonts w:ascii="Calibri" w:hAnsi="Calibri" w:eastAsia="Segoe UI" w:cs="Tahoma"/>
                <w:kern w:val="0"/>
                <w:sz w:val="21"/>
                <w:szCs w:val="21"/>
                <w:lang w:val="lt-LT" w:eastAsia="lt-LT" w:bidi="ar-SA"/>
              </w:rPr>
            </w:pPr>
            <w:r>
              <w:rPr>
                <w:rFonts w:eastAsia="Segoe UI" w:cs="Calibri"/>
                <w:b/>
                <w:kern w:val="0"/>
                <w:sz w:val="21"/>
                <w:szCs w:val="21"/>
                <w:lang w:val="lt-LT" w:eastAsia="lt-LT" w:bidi="ar-SA"/>
              </w:rPr>
              <w:t>Iš viso su PVM</w:t>
            </w:r>
          </w:p>
        </w:tc>
        <w:tc>
          <w:tcPr>
            <w:tcW w:w="1800" w:type="dxa"/>
            <w:tcBorders/>
          </w:tcPr>
          <w:p>
            <w:pPr>
              <w:pStyle w:val="Standard"/>
              <w:widowControl/>
              <w:suppressAutoHyphens w:val="true"/>
              <w:spacing w:lineRule="auto" w:line="240" w:before="0" w:after="0"/>
              <w:jc w:val="both"/>
              <w:rPr>
                <w:rFonts w:ascii="Calibri" w:hAnsi="Calibri" w:eastAsia="Segoe UI" w:cs="Calibri"/>
                <w:b/>
                <w:kern w:val="0"/>
                <w:sz w:val="21"/>
                <w:szCs w:val="21"/>
                <w:lang w:val="lt-LT" w:eastAsia="lt-LT" w:bidi="ar-SA"/>
              </w:rPr>
            </w:pPr>
            <w:r>
              <w:rPr>
                <w:rFonts w:eastAsia="Segoe UI" w:cs="Calibri"/>
                <w:b/>
                <w:kern w:val="0"/>
                <w:sz w:val="21"/>
                <w:szCs w:val="21"/>
                <w:lang w:val="lt-LT" w:eastAsia="lt-LT" w:bidi="ar-SA"/>
              </w:rPr>
            </w:r>
          </w:p>
        </w:tc>
      </w:tr>
    </w:tbl>
    <w:p>
      <w:pPr>
        <w:pStyle w:val="Standard"/>
        <w:spacing w:lineRule="auto" w:line="240" w:before="0" w:after="0"/>
        <w:ind w:firstLine="709"/>
        <w:jc w:val="both"/>
        <w:rPr>
          <w:rFonts w:cs="Calibri"/>
          <w:lang w:val="lt-LT"/>
        </w:rPr>
      </w:pPr>
      <w:r>
        <w:rPr>
          <w:rFonts w:cs="Calibri"/>
          <w:lang w:val="lt-LT"/>
        </w:rPr>
      </w:r>
    </w:p>
    <w:p>
      <w:pPr>
        <w:pStyle w:val="Standard"/>
        <w:spacing w:lineRule="auto" w:line="240" w:before="0" w:after="0"/>
        <w:ind w:firstLine="709"/>
        <w:jc w:val="both"/>
        <w:rPr>
          <w:lang w:val="lt-LT"/>
        </w:rPr>
      </w:pPr>
      <w:r>
        <w:rPr>
          <w:rFonts w:cs="Calibri"/>
          <w:lang w:val="lt-LT"/>
        </w:rPr>
        <w:t xml:space="preserve">Bendra </w:t>
      </w:r>
      <w:r>
        <w:rPr>
          <w:rFonts w:cs="Calibri"/>
          <w:b/>
          <w:bCs/>
          <w:lang w:val="lt-LT"/>
        </w:rPr>
        <w:t xml:space="preserve">Prienų rajono pirminės sveikatos priežiūros centro rekonstravimo darbų </w:t>
      </w:r>
      <w:r>
        <w:rPr>
          <w:rFonts w:cs="Calibri"/>
          <w:lang w:val="lt-LT"/>
        </w:rPr>
        <w:t>pasiūlymo kaina _________ Eur (</w:t>
      </w:r>
      <w:r>
        <w:rPr>
          <w:rFonts w:cs="Calibri"/>
          <w:i/>
          <w:lang w:val="lt-LT"/>
        </w:rPr>
        <w:t>pasiūlymo kaina žodžiais</w:t>
      </w:r>
      <w:r>
        <w:rPr>
          <w:rFonts w:cs="Calibri"/>
          <w:lang w:val="lt-LT"/>
        </w:rPr>
        <w:t>) su PVM.</w:t>
      </w:r>
    </w:p>
    <w:p>
      <w:pPr>
        <w:pStyle w:val="Standard"/>
        <w:spacing w:lineRule="auto" w:line="240" w:before="0" w:after="0"/>
        <w:jc w:val="both"/>
        <w:rPr>
          <w:rFonts w:cs="Calibri"/>
          <w:lang w:val="lt-LT"/>
        </w:rPr>
      </w:pPr>
      <w:r>
        <w:rPr>
          <w:rFonts w:cs="Calibri"/>
          <w:lang w:val="lt-LT"/>
        </w:rPr>
      </w:r>
    </w:p>
    <w:p>
      <w:pPr>
        <w:pStyle w:val="Standard"/>
        <w:spacing w:lineRule="auto" w:line="240" w:before="0" w:after="0"/>
        <w:ind w:firstLine="567"/>
        <w:jc w:val="both"/>
        <w:rPr>
          <w:lang w:val="lt-LT"/>
        </w:rPr>
      </w:pPr>
      <w:r>
        <w:rPr>
          <w:rFonts w:cs="Calibri"/>
          <w:b/>
          <w:lang w:val="lt-LT"/>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pPr>
        <w:pStyle w:val="Standard"/>
        <w:spacing w:lineRule="auto" w:line="240" w:before="0" w:after="0"/>
        <w:jc w:val="both"/>
        <w:rPr>
          <w:rFonts w:cs="Calibri"/>
          <w:b/>
          <w:lang w:val="lt-LT"/>
        </w:rPr>
      </w:pPr>
      <w:r>
        <w:rPr>
          <w:rFonts w:cs="Calibri"/>
          <w:b/>
          <w:lang w:val="lt-LT"/>
        </w:rPr>
      </w:r>
    </w:p>
    <w:p>
      <w:pPr>
        <w:pStyle w:val="Standard"/>
        <w:spacing w:lineRule="auto" w:line="240" w:before="0" w:after="0"/>
        <w:ind w:firstLine="567"/>
        <w:jc w:val="both"/>
        <w:rPr>
          <w:lang w:val="lt-LT"/>
        </w:rPr>
      </w:pPr>
      <w:r>
        <w:rPr>
          <w:rFonts w:cs="Calibri"/>
          <w:b/>
          <w:lang w:val="lt-LT"/>
        </w:rPr>
        <w:t>3. Kartu su pasiūlymu pateikiami šie dokumentai:</w:t>
      </w:r>
    </w:p>
    <w:tbl>
      <w:tblPr>
        <w:tblW w:w="9810" w:type="dxa"/>
        <w:jc w:val="left"/>
        <w:tblInd w:w="339" w:type="dxa"/>
        <w:tblLayout w:type="fixed"/>
        <w:tblCellMar>
          <w:top w:w="0" w:type="dxa"/>
          <w:left w:w="108" w:type="dxa"/>
          <w:bottom w:w="0" w:type="dxa"/>
          <w:right w:w="108" w:type="dxa"/>
        </w:tblCellMar>
        <w:tblLook w:firstRow="1" w:noVBand="1" w:lastRow="0" w:firstColumn="1" w:lastColumn="0" w:noHBand="0" w:val="04a0"/>
      </w:tblPr>
      <w:tblGrid>
        <w:gridCol w:w="486"/>
        <w:gridCol w:w="7020"/>
        <w:gridCol w:w="2304"/>
      </w:tblGrid>
      <w:tr>
        <w:trPr/>
        <w:tc>
          <w:tcPr>
            <w:tcW w:w="48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Eil. Nr.</w:t>
            </w:r>
          </w:p>
        </w:tc>
        <w:tc>
          <w:tcPr>
            <w:tcW w:w="702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Pateiktų dokumentų pavadinimas</w:t>
            </w:r>
          </w:p>
        </w:tc>
        <w:tc>
          <w:tcPr>
            <w:tcW w:w="230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Dokumento puslapių skaičius</w:t>
            </w:r>
          </w:p>
        </w:tc>
      </w:tr>
      <w:tr>
        <w:trPr/>
        <w:tc>
          <w:tcPr>
            <w:tcW w:w="48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1.</w:t>
            </w:r>
          </w:p>
        </w:tc>
        <w:tc>
          <w:tcPr>
            <w:tcW w:w="702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Užpildytas EBVPD</w:t>
            </w:r>
          </w:p>
        </w:tc>
        <w:tc>
          <w:tcPr>
            <w:tcW w:w="230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48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2.</w:t>
            </w:r>
          </w:p>
        </w:tc>
        <w:tc>
          <w:tcPr>
            <w:tcW w:w="702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Pasiūlymo galiojimo užtikrinimą įrodantis dokumentas</w:t>
            </w:r>
          </w:p>
        </w:tc>
        <w:tc>
          <w:tcPr>
            <w:tcW w:w="230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48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3.</w:t>
            </w:r>
          </w:p>
        </w:tc>
        <w:tc>
          <w:tcPr>
            <w:tcW w:w="702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Įkainotų veiklų (darbų grupių) sąrašas (specialiųjų pirkimo sąlygų 10 priedas)</w:t>
            </w:r>
          </w:p>
        </w:tc>
        <w:tc>
          <w:tcPr>
            <w:tcW w:w="230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48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702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30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48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702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30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48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702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30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bl>
    <w:p>
      <w:pPr>
        <w:pStyle w:val="Standard"/>
        <w:spacing w:lineRule="auto" w:line="240" w:before="0" w:after="0"/>
        <w:jc w:val="both"/>
        <w:rPr>
          <w:rFonts w:cs="Calibri"/>
          <w:lang w:val="lt-LT"/>
        </w:rPr>
      </w:pPr>
      <w:r>
        <w:rPr>
          <w:rFonts w:cs="Calibri"/>
          <w:lang w:val="lt-LT"/>
        </w:rPr>
      </w:r>
    </w:p>
    <w:p>
      <w:pPr>
        <w:pStyle w:val="Standard"/>
        <w:spacing w:lineRule="auto" w:line="240" w:before="0" w:after="0"/>
        <w:ind w:firstLine="567"/>
        <w:jc w:val="both"/>
        <w:rPr>
          <w:lang w:val="lt-LT"/>
        </w:rPr>
      </w:pPr>
      <w:r>
        <w:rPr>
          <w:rFonts w:cs="Calibri"/>
          <w:b/>
          <w:lang w:val="lt-LT"/>
        </w:rPr>
        <w:t>4. *Vykdant sutartį pasitelksime šiuos subrangovus:</w:t>
      </w:r>
    </w:p>
    <w:tbl>
      <w:tblPr>
        <w:tblW w:w="9810" w:type="dxa"/>
        <w:jc w:val="left"/>
        <w:tblInd w:w="339" w:type="dxa"/>
        <w:tblLayout w:type="fixed"/>
        <w:tblCellMar>
          <w:top w:w="0" w:type="dxa"/>
          <w:left w:w="108" w:type="dxa"/>
          <w:bottom w:w="0" w:type="dxa"/>
          <w:right w:w="108" w:type="dxa"/>
        </w:tblCellMar>
        <w:tblLook w:firstRow="1" w:noVBand="1" w:lastRow="0" w:firstColumn="1" w:lastColumn="0" w:noHBand="0" w:val="04a0"/>
      </w:tblPr>
      <w:tblGrid>
        <w:gridCol w:w="596"/>
        <w:gridCol w:w="6374"/>
        <w:gridCol w:w="2840"/>
      </w:tblGrid>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Eil. Nr.</w:t>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Subrangovų pavadinimas</w:t>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lang w:val="lt-LT"/>
              </w:rPr>
            </w:pPr>
            <w:r>
              <w:rPr>
                <w:rFonts w:cs="Calibri"/>
                <w:lang w:val="lt-LT"/>
              </w:rPr>
              <w:t>Subrangovui perduodama dalis (%) arba Eur</w:t>
            </w:r>
          </w:p>
        </w:tc>
      </w:tr>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bl>
    <w:p>
      <w:pPr>
        <w:pStyle w:val="Standard"/>
        <w:spacing w:lineRule="auto" w:line="240" w:before="0" w:after="0"/>
        <w:jc w:val="both"/>
        <w:rPr>
          <w:lang w:val="lt-LT"/>
        </w:rPr>
      </w:pPr>
      <w:r>
        <w:rPr>
          <w:rFonts w:cs="Calibri"/>
          <w:sz w:val="16"/>
          <w:szCs w:val="16"/>
          <w:lang w:val="lt-LT"/>
        </w:rPr>
        <w:t>*Pildyti tuomet, jei bus sutarties vykdymui bus pasitelkti subrangovai.</w:t>
      </w:r>
    </w:p>
    <w:p>
      <w:pPr>
        <w:pStyle w:val="Standard"/>
        <w:spacing w:lineRule="auto" w:line="240" w:before="0" w:after="0"/>
        <w:jc w:val="both"/>
        <w:rPr>
          <w:rFonts w:cs="Calibri"/>
          <w:sz w:val="16"/>
          <w:szCs w:val="16"/>
          <w:lang w:val="lt-LT"/>
        </w:rPr>
      </w:pPr>
      <w:r>
        <w:rPr>
          <w:rFonts w:cs="Calibri"/>
          <w:sz w:val="16"/>
          <w:szCs w:val="16"/>
          <w:lang w:val="lt-LT"/>
        </w:rPr>
      </w:r>
    </w:p>
    <w:p>
      <w:pPr>
        <w:pStyle w:val="Standard"/>
        <w:spacing w:lineRule="auto" w:line="240" w:before="0" w:after="0"/>
        <w:ind w:firstLine="567"/>
        <w:jc w:val="both"/>
        <w:rPr>
          <w:lang w:val="lt-LT"/>
        </w:rPr>
      </w:pPr>
      <w:r>
        <w:rPr>
          <w:rFonts w:cs="Calibri"/>
          <w:b/>
          <w:lang w:val="lt-LT"/>
        </w:rPr>
        <w:t>5. *Vykdant sutartį pasitelksime šiuos ūkio subjektus, kurių pajėgumais bus remiamasi:</w:t>
      </w:r>
    </w:p>
    <w:tbl>
      <w:tblPr>
        <w:tblW w:w="9810" w:type="dxa"/>
        <w:jc w:val="left"/>
        <w:tblInd w:w="339" w:type="dxa"/>
        <w:tblLayout w:type="fixed"/>
        <w:tblCellMar>
          <w:top w:w="0" w:type="dxa"/>
          <w:left w:w="108" w:type="dxa"/>
          <w:bottom w:w="0" w:type="dxa"/>
          <w:right w:w="108" w:type="dxa"/>
        </w:tblCellMar>
        <w:tblLook w:firstRow="1" w:noVBand="1" w:lastRow="0" w:firstColumn="1" w:lastColumn="0" w:noHBand="0" w:val="04a0"/>
      </w:tblPr>
      <w:tblGrid>
        <w:gridCol w:w="596"/>
        <w:gridCol w:w="6374"/>
        <w:gridCol w:w="2840"/>
      </w:tblGrid>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Eil. Nr.</w:t>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Subrangovų pavadinimas</w:t>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lang w:val="lt-LT"/>
              </w:rPr>
            </w:pPr>
            <w:r>
              <w:rPr>
                <w:rFonts w:cs="Calibri"/>
                <w:lang w:val="lt-LT"/>
              </w:rPr>
              <w:t>Subrangovui perduodama dalis (%) arba Eur</w:t>
            </w:r>
          </w:p>
        </w:tc>
      </w:tr>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bl>
    <w:p>
      <w:pPr>
        <w:pStyle w:val="Standard"/>
        <w:spacing w:lineRule="auto" w:line="240" w:before="0" w:after="0"/>
        <w:jc w:val="both"/>
        <w:rPr>
          <w:lang w:val="lt-LT"/>
        </w:rPr>
      </w:pPr>
      <w:r>
        <w:rPr>
          <w:rFonts w:cs="Calibri"/>
          <w:sz w:val="16"/>
          <w:szCs w:val="16"/>
          <w:lang w:val="lt-LT"/>
        </w:rPr>
        <w:t>*Pildyti tuomet, jei sutarties vykdymui bus pasitelkti ūkio subjektai, kurių pajėgumais bus remiamasi.</w:t>
      </w:r>
    </w:p>
    <w:p>
      <w:pPr>
        <w:pStyle w:val="Standard"/>
        <w:spacing w:lineRule="auto" w:line="240" w:before="0" w:after="0"/>
        <w:jc w:val="both"/>
        <w:rPr>
          <w:rFonts w:cs="Calibri"/>
          <w:sz w:val="16"/>
          <w:szCs w:val="16"/>
          <w:lang w:val="lt-LT"/>
        </w:rPr>
      </w:pPr>
      <w:r>
        <w:rPr>
          <w:rFonts w:cs="Calibri"/>
          <w:sz w:val="16"/>
          <w:szCs w:val="16"/>
          <w:lang w:val="lt-LT"/>
        </w:rPr>
      </w:r>
    </w:p>
    <w:p>
      <w:pPr>
        <w:pStyle w:val="Standard"/>
        <w:spacing w:lineRule="auto" w:line="240" w:before="0" w:after="0"/>
        <w:ind w:firstLine="567"/>
        <w:jc w:val="both"/>
        <w:rPr>
          <w:lang w:val="lt-LT"/>
        </w:rPr>
      </w:pPr>
      <w:r>
        <w:rPr>
          <w:rFonts w:cs="Calibri"/>
          <w:b/>
          <w:lang w:val="lt-LT"/>
        </w:rPr>
        <w:t>6. *Vykdant sutartį pasitelksime šiuos kvazisubtiekėjus:</w:t>
      </w:r>
    </w:p>
    <w:tbl>
      <w:tblPr>
        <w:tblW w:w="9810" w:type="dxa"/>
        <w:jc w:val="left"/>
        <w:tblInd w:w="339" w:type="dxa"/>
        <w:tblLayout w:type="fixed"/>
        <w:tblCellMar>
          <w:top w:w="0" w:type="dxa"/>
          <w:left w:w="108" w:type="dxa"/>
          <w:bottom w:w="0" w:type="dxa"/>
          <w:right w:w="108" w:type="dxa"/>
        </w:tblCellMar>
        <w:tblLook w:firstRow="1" w:noVBand="1" w:lastRow="0" w:firstColumn="1" w:lastColumn="0" w:noHBand="0" w:val="04a0"/>
      </w:tblPr>
      <w:tblGrid>
        <w:gridCol w:w="596"/>
        <w:gridCol w:w="6374"/>
        <w:gridCol w:w="2840"/>
      </w:tblGrid>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Eil. Nr.</w:t>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Kvazisubtiekėjo pavadinimas</w:t>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lang w:val="lt-LT"/>
              </w:rPr>
            </w:pPr>
            <w:r>
              <w:rPr>
                <w:rFonts w:cs="Calibri"/>
                <w:lang w:val="lt-LT"/>
              </w:rPr>
              <w:t>Kvazisubtiekėjui perduodama dalis (%) arba Eur</w:t>
            </w:r>
          </w:p>
        </w:tc>
      </w:tr>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637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28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bl>
    <w:p>
      <w:pPr>
        <w:pStyle w:val="Standard"/>
        <w:spacing w:lineRule="auto" w:line="240" w:before="0" w:after="0"/>
        <w:jc w:val="both"/>
        <w:rPr>
          <w:lang w:val="lt-LT"/>
        </w:rPr>
      </w:pPr>
      <w:r>
        <w:rPr>
          <w:rFonts w:cs="Calibri"/>
          <w:sz w:val="16"/>
          <w:szCs w:val="16"/>
          <w:lang w:val="lt-LT"/>
        </w:rPr>
        <w:t>*Pildyti tuomet, jei bus sutarties vykdymui bus pasitelkti kvazisubtiekėjai</w:t>
      </w:r>
    </w:p>
    <w:p>
      <w:pPr>
        <w:pStyle w:val="Standard"/>
        <w:spacing w:lineRule="auto" w:line="240" w:before="0" w:after="0"/>
        <w:jc w:val="both"/>
        <w:rPr>
          <w:rFonts w:cs="Calibri"/>
          <w:sz w:val="16"/>
          <w:szCs w:val="16"/>
          <w:lang w:val="lt-LT"/>
        </w:rPr>
      </w:pPr>
      <w:r>
        <w:rPr>
          <w:rFonts w:cs="Calibri"/>
          <w:sz w:val="16"/>
          <w:szCs w:val="16"/>
          <w:lang w:val="lt-LT"/>
        </w:rPr>
      </w:r>
    </w:p>
    <w:p>
      <w:pPr>
        <w:pStyle w:val="Standard"/>
        <w:spacing w:lineRule="auto" w:line="240" w:before="0" w:after="0"/>
        <w:ind w:firstLine="567"/>
        <w:jc w:val="both"/>
        <w:rPr>
          <w:lang w:val="lt-LT"/>
        </w:rPr>
      </w:pPr>
      <w:r>
        <w:rPr>
          <w:rFonts w:cs="Calibri"/>
          <w:b/>
          <w:lang w:val="lt-LT"/>
        </w:rPr>
        <w:t>7. **Šiame pasiūlyme yra pateikta ir konfidenciali informacija:</w:t>
      </w:r>
    </w:p>
    <w:tbl>
      <w:tblPr>
        <w:tblW w:w="9810" w:type="dxa"/>
        <w:jc w:val="left"/>
        <w:tblInd w:w="339" w:type="dxa"/>
        <w:tblLayout w:type="fixed"/>
        <w:tblCellMar>
          <w:top w:w="0" w:type="dxa"/>
          <w:left w:w="108" w:type="dxa"/>
          <w:bottom w:w="0" w:type="dxa"/>
          <w:right w:w="108" w:type="dxa"/>
        </w:tblCellMar>
        <w:tblLook w:firstRow="1" w:noVBand="1" w:lastRow="0" w:firstColumn="1" w:lastColumn="0" w:noHBand="0" w:val="04a0"/>
      </w:tblPr>
      <w:tblGrid>
        <w:gridCol w:w="596"/>
        <w:gridCol w:w="9213"/>
      </w:tblGrid>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Eil. Nr.</w:t>
            </w:r>
          </w:p>
        </w:tc>
        <w:tc>
          <w:tcPr>
            <w:tcW w:w="9213"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lang w:val="lt-LT"/>
              </w:rPr>
            </w:pPr>
            <w:r>
              <w:rPr>
                <w:rFonts w:cs="Calibri"/>
                <w:lang w:val="lt-LT"/>
              </w:rPr>
              <w:t>Pateikto dokumento pavadinimas</w:t>
            </w:r>
          </w:p>
        </w:tc>
      </w:tr>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9213"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r>
        <w:trPr/>
        <w:tc>
          <w:tcPr>
            <w:tcW w:w="596"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c>
          <w:tcPr>
            <w:tcW w:w="9213"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cs="Calibri"/>
                <w:lang w:val="lt-LT"/>
              </w:rPr>
            </w:pPr>
            <w:r>
              <w:rPr>
                <w:rFonts w:cs="Calibri"/>
                <w:lang w:val="lt-LT"/>
              </w:rPr>
            </w:r>
          </w:p>
        </w:tc>
      </w:tr>
    </w:tbl>
    <w:p>
      <w:pPr>
        <w:pStyle w:val="Standard"/>
        <w:spacing w:lineRule="auto" w:line="240" w:before="0" w:after="0"/>
        <w:jc w:val="both"/>
        <w:rPr>
          <w:lang w:val="lt-LT"/>
        </w:rPr>
      </w:pPr>
      <w:r>
        <w:rPr>
          <w:rFonts w:cs="Calibri"/>
          <w:sz w:val="16"/>
          <w:szCs w:val="16"/>
          <w:lang w:val="lt-LT"/>
        </w:rPr>
        <w:t xml:space="preserve">** </w:t>
      </w:r>
      <w:r>
        <w:rPr>
          <w:rFonts w:cs="Calibri"/>
          <w:bCs/>
          <w:sz w:val="16"/>
          <w:szCs w:val="16"/>
          <w:lang w:val="lt-LT"/>
        </w:rPr>
        <w:t>Pildyti tuomet, jei bus pateikta konfidenciali informacija. Visas tiekėjo pasiūlymas ir paraiška negali būti laikomi konfidencialia informacija, tačiau tiekėjas gali nurodyti, kad tam tikra jo pasiūlyme pateikta informacija yra konfidenciali. Konfidencialia informacija gali būti, pavyzdžiui, komercinė (gamybinė) paslaptis ir konfidencialieji pasiūlymų aspektai</w:t>
      </w:r>
      <w:r>
        <w:rPr>
          <w:rFonts w:cs="Calibri"/>
          <w:bCs/>
          <w:color w:val="000000"/>
          <w:sz w:val="16"/>
          <w:szCs w:val="16"/>
          <w:lang w:val="lt-LT"/>
        </w:rPr>
        <w:t>. Konfidencialia negalima laikyti informacijos:</w:t>
      </w:r>
    </w:p>
    <w:p>
      <w:pPr>
        <w:pStyle w:val="Textbody"/>
        <w:spacing w:lineRule="auto" w:line="240" w:before="0" w:after="0"/>
        <w:rPr>
          <w:lang w:val="lt-LT"/>
        </w:rPr>
      </w:pPr>
      <w:r>
        <w:rPr>
          <w:rFonts w:cs="Calibri"/>
          <w:bCs/>
          <w:color w:val="000000"/>
          <w:sz w:val="16"/>
          <w:szCs w:val="16"/>
          <w:lang w:val="lt-LT"/>
        </w:rPr>
        <w:t>1) jeigu tai pažeistų įstatymus, nustatančius informacijos atskleidimo ar teisės gauti informaciją reikalavimus, ir šių įstatymų įgyvendinamuosius teisės aktus;</w:t>
      </w:r>
    </w:p>
    <w:p>
      <w:pPr>
        <w:pStyle w:val="Textbody"/>
        <w:spacing w:lineRule="auto" w:line="240" w:before="0" w:after="0"/>
        <w:rPr>
          <w:lang w:val="lt-LT"/>
        </w:rPr>
      </w:pPr>
      <w:r>
        <w:rPr>
          <w:rFonts w:cs="Calibri"/>
          <w:bCs/>
          <w:color w:val="000000"/>
          <w:sz w:val="16"/>
          <w:szCs w:val="16"/>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pPr>
        <w:pStyle w:val="Textbody"/>
        <w:spacing w:lineRule="auto" w:line="240" w:before="0" w:after="0"/>
        <w:rPr>
          <w:lang w:val="lt-LT"/>
        </w:rPr>
      </w:pPr>
      <w:r>
        <w:rPr>
          <w:rFonts w:cs="Calibri"/>
          <w:bCs/>
          <w:color w:val="000000"/>
          <w:sz w:val="16"/>
          <w:szCs w:val="16"/>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pPr>
        <w:pStyle w:val="Textbody"/>
        <w:spacing w:lineRule="auto" w:line="240" w:before="0" w:after="0"/>
        <w:rPr>
          <w:lang w:val="lt-LT"/>
        </w:rPr>
      </w:pPr>
      <w:r>
        <w:rPr>
          <w:rFonts w:cs="Calibri"/>
          <w:bCs/>
          <w:color w:val="000000"/>
          <w:sz w:val="16"/>
          <w:szCs w:val="16"/>
          <w:lang w:val="lt-LT"/>
        </w:rPr>
        <w:t>4) informacija apie pasitelktus ūkio subjektus, kurių pajėgumais remiasi tiekėjas, ir subtiekėjus – tuo atveju, kai ši informacija reikalinga tiekėjui jo teisėtiems interesams ginti.</w:t>
      </w:r>
    </w:p>
    <w:p>
      <w:pPr>
        <w:pStyle w:val="Textbody"/>
        <w:spacing w:lineRule="auto" w:line="240" w:before="0" w:after="0"/>
        <w:rPr>
          <w:szCs w:val="21"/>
          <w:lang w:val="lt-LT"/>
        </w:rPr>
      </w:pPr>
      <w:r>
        <w:rPr>
          <w:szCs w:val="21"/>
          <w:lang w:val="lt-LT"/>
        </w:rPr>
      </w:r>
    </w:p>
    <w:p>
      <w:pPr>
        <w:pStyle w:val="Textbody"/>
        <w:spacing w:lineRule="auto" w:line="240" w:before="0" w:after="0"/>
        <w:rPr>
          <w:lang w:val="lt-LT"/>
        </w:rPr>
      </w:pPr>
      <w:r>
        <w:rPr>
          <w:rFonts w:cs="Calibri"/>
          <w:bCs/>
          <w:szCs w:val="21"/>
          <w:lang w:val="lt-LT"/>
        </w:rPr>
        <w:t>Pasirašydami š</w:t>
      </w:r>
      <w:r>
        <w:rPr>
          <w:rFonts w:cs="Calibri"/>
          <w:lang w:val="lt-LT"/>
        </w:rPr>
        <w:t>į pasiūlymą tvirtiname, kad:</w:t>
      </w:r>
    </w:p>
    <w:p>
      <w:pPr>
        <w:pStyle w:val="Textbody"/>
        <w:tabs>
          <w:tab w:val="clear" w:pos="720"/>
          <w:tab w:val="left" w:pos="900" w:leader="none"/>
        </w:tabs>
        <w:spacing w:lineRule="auto" w:line="240" w:before="0" w:after="0"/>
        <w:rPr>
          <w:lang w:val="lt-LT"/>
        </w:rPr>
      </w:pPr>
      <w:r>
        <w:rPr>
          <w:rFonts w:cs="Calibri"/>
          <w:lang w:val="lt-LT"/>
        </w:rPr>
        <w:t>1)</w:t>
        <w:tab/>
        <w:t>pasiūlymas galioja 90 kalendorių dienų nuo pasiūlymų pateikimo termino pabaigos;</w:t>
      </w:r>
    </w:p>
    <w:p>
      <w:pPr>
        <w:pStyle w:val="Textbody"/>
        <w:tabs>
          <w:tab w:val="clear" w:pos="720"/>
          <w:tab w:val="left" w:pos="900" w:leader="none"/>
        </w:tabs>
        <w:spacing w:lineRule="auto" w:line="240" w:before="0" w:after="0"/>
        <w:rPr>
          <w:lang w:val="lt-LT"/>
        </w:rPr>
      </w:pPr>
      <w:r>
        <w:rPr>
          <w:rFonts w:cs="Calibri"/>
          <w:lang w:val="lt-LT"/>
        </w:rPr>
        <w:t>2)</w:t>
        <w:tab/>
        <w:t>sutinkame su visomis pirkimo dokumentuose, jų paaiškinimuose, papildymuose nustatytomis sąlygomis;</w:t>
      </w:r>
    </w:p>
    <w:p>
      <w:pPr>
        <w:pStyle w:val="Textbody"/>
        <w:tabs>
          <w:tab w:val="clear" w:pos="720"/>
          <w:tab w:val="left" w:pos="900" w:leader="none"/>
        </w:tabs>
        <w:spacing w:lineRule="auto" w:line="240" w:before="0" w:after="0"/>
        <w:rPr>
          <w:lang w:val="lt-LT"/>
        </w:rPr>
      </w:pPr>
      <w:r>
        <w:rPr>
          <w:rFonts w:cs="Calibri"/>
          <w:lang w:val="lt-LT"/>
        </w:rPr>
        <w:t>3)</w:t>
        <w:tab/>
        <w:t>visa pasiūlyme pateikta informacija yra teisinga ir nenuslėpėme jokios informacijos, kurią buvo prašoma pateikti pirkimo dokumentuose;</w:t>
      </w:r>
    </w:p>
    <w:p>
      <w:pPr>
        <w:pStyle w:val="Textbody"/>
        <w:tabs>
          <w:tab w:val="clear" w:pos="720"/>
          <w:tab w:val="left" w:pos="900" w:leader="none"/>
        </w:tabs>
        <w:spacing w:lineRule="auto" w:line="240" w:before="0" w:after="0"/>
        <w:rPr>
          <w:lang w:val="lt-LT"/>
        </w:rPr>
      </w:pPr>
      <w:r>
        <w:rPr>
          <w:rFonts w:cs="Calibri"/>
          <w:lang w:val="lt-LT"/>
        </w:rPr>
        <w:t>4)</w:t>
        <w:tab/>
        <w:t>suprantame, kad išaiškėjus 3 punkte nurodytoms aplinkybėms, būsime pašalinti iš šio pirkimo ir mūsų pateiktas pasiūlymas bus atmestas.</w:t>
      </w:r>
    </w:p>
    <w:p>
      <w:pPr>
        <w:pStyle w:val="Textbody"/>
        <w:spacing w:lineRule="auto" w:line="240" w:before="0" w:after="0"/>
        <w:rPr>
          <w:rFonts w:cs="Calibri"/>
          <w:lang w:val="lt-LT"/>
        </w:rPr>
      </w:pPr>
      <w:r>
        <w:rPr>
          <w:rFonts w:cs="Calibri"/>
          <w:lang w:val="lt-LT"/>
        </w:rPr>
      </w:r>
    </w:p>
    <w:p>
      <w:pPr>
        <w:pStyle w:val="Standard"/>
        <w:spacing w:lineRule="auto" w:line="240" w:before="0" w:after="0"/>
        <w:jc w:val="both"/>
        <w:rPr>
          <w:rFonts w:cs="Calibri"/>
          <w:lang w:val="lt-LT"/>
        </w:rPr>
      </w:pPr>
      <w:r>
        <w:rPr>
          <w:rFonts w:cs="Calibri"/>
          <w:lang w:val="lt-LT"/>
        </w:rPr>
      </w:r>
    </w:p>
    <w:p>
      <w:pPr>
        <w:pStyle w:val="Standard"/>
        <w:spacing w:lineRule="auto" w:line="240" w:before="0" w:after="0"/>
        <w:jc w:val="both"/>
        <w:rPr>
          <w:lang w:val="lt-LT"/>
        </w:rPr>
      </w:pPr>
      <w:r>
        <w:rPr>
          <w:rFonts w:cs="Calibri"/>
          <w:lang w:val="lt-LT"/>
        </w:rPr>
        <w:t xml:space="preserve">______________________________________          _______________  </w:t>
        <w:tab/>
        <w:t>________________________________</w:t>
      </w:r>
    </w:p>
    <w:p>
      <w:pPr>
        <w:sectPr>
          <w:footerReference w:type="even" r:id="rId17"/>
          <w:footerReference w:type="default" r:id="rId18"/>
          <w:footerReference w:type="first" r:id="rId19"/>
          <w:footnotePr>
            <w:numFmt w:val="decimal"/>
          </w:footnotePr>
          <w:type w:val="nextPage"/>
          <w:pgSz w:w="12240" w:h="15840"/>
          <w:pgMar w:left="1701" w:right="567" w:gutter="0" w:header="0" w:top="1134" w:footer="720" w:bottom="1134"/>
          <w:pgNumType w:fmt="decimal"/>
          <w:formProt w:val="false"/>
          <w:textDirection w:val="lrTb"/>
          <w:docGrid w:type="default" w:linePitch="312" w:charSpace="0"/>
        </w:sectPr>
        <w:pStyle w:val="Standard"/>
        <w:spacing w:lineRule="auto" w:line="240" w:before="0" w:after="0"/>
        <w:jc w:val="both"/>
        <w:rPr>
          <w:lang w:val="lt-LT"/>
        </w:rPr>
      </w:pPr>
      <w:r>
        <w:rPr>
          <w:rFonts w:cs="Calibri"/>
          <w:sz w:val="18"/>
          <w:szCs w:val="18"/>
          <w:lang w:val="lt-LT"/>
        </w:rPr>
        <w:t>(Rangovo arba jo įgalioto asmens pareigų pavadinimas)                   (Parašas)</w:t>
        <w:tab/>
        <w:t xml:space="preserve">               (Vardas ir pavardė)</w:t>
        <w:tab/>
      </w:r>
    </w:p>
    <w:p>
      <w:pPr>
        <w:pStyle w:val="Heading2"/>
        <w:ind w:left="6804"/>
        <w:rPr>
          <w:lang w:val="lt-LT"/>
        </w:rPr>
      </w:pPr>
      <w:bookmarkStart w:id="79" w:name="_Ref39484039"/>
      <w:bookmarkStart w:id="80" w:name="_Toc170854179"/>
      <w:bookmarkStart w:id="81" w:name="_Ref40278562"/>
      <w:r>
        <w:rPr>
          <w:rFonts w:eastAsia="Calibri" w:cs="Calibri" w:ascii="Calibri" w:hAnsi="Calibri"/>
          <w:color w:val="0070C0"/>
          <w:sz w:val="21"/>
          <w:szCs w:val="21"/>
          <w:lang w:val="lt-LT"/>
        </w:rPr>
        <w:t>Pirkimo sąlygų 7 priedas „Pasiūlymų vertinimo kriterijai ir sąlygos“</w:t>
      </w:r>
      <w:bookmarkEnd w:id="79"/>
      <w:bookmarkEnd w:id="80"/>
      <w:bookmarkEnd w:id="81"/>
    </w:p>
    <w:p>
      <w:pPr>
        <w:pStyle w:val="Standard"/>
        <w:jc w:val="center"/>
        <w:rPr>
          <w:b/>
          <w:szCs w:val="24"/>
          <w:lang w:val="lt-LT"/>
        </w:rPr>
      </w:pPr>
      <w:r>
        <w:rPr>
          <w:b/>
          <w:szCs w:val="24"/>
          <w:lang w:val="lt-LT"/>
        </w:rPr>
      </w:r>
    </w:p>
    <w:p>
      <w:pPr>
        <w:pStyle w:val="Subtitle"/>
        <w:jc w:val="center"/>
        <w:rPr>
          <w:lang w:val="lt-LT"/>
        </w:rPr>
      </w:pPr>
      <w:r>
        <w:rPr>
          <w:lang w:val="lt-LT"/>
        </w:rPr>
        <w:t>PASIŪLYMŲ VERTINIMO KRITERIJAI ir Sąlygos</w:t>
      </w:r>
    </w:p>
    <w:p>
      <w:pPr>
        <w:pStyle w:val="ListParagraph"/>
        <w:numPr>
          <w:ilvl w:val="0"/>
          <w:numId w:val="52"/>
        </w:numPr>
        <w:tabs>
          <w:tab w:val="clear" w:pos="720"/>
          <w:tab w:val="left" w:pos="851" w:leader="none"/>
          <w:tab w:val="left" w:pos="1276" w:leader="none"/>
        </w:tabs>
        <w:spacing w:lineRule="auto" w:line="240" w:before="0" w:after="0"/>
        <w:ind w:firstLine="567" w:left="0"/>
        <w:jc w:val="both"/>
        <w:rPr>
          <w:lang w:val="lt-LT"/>
        </w:rPr>
      </w:pPr>
      <w:r>
        <w:rPr>
          <w:rFonts w:cs="Calibri"/>
          <w:lang w:val="lt-LT"/>
        </w:rPr>
        <w:t xml:space="preserve">Perkančioji organizacija ekonomiškai naudingiausią pasiūlymą išrenka pagal </w:t>
      </w:r>
      <w:r>
        <w:rPr>
          <w:rFonts w:cs="Calibri"/>
          <w:b/>
          <w:bCs/>
          <w:lang w:val="lt-LT"/>
        </w:rPr>
        <w:t>kainą</w:t>
      </w:r>
      <w:r>
        <w:rPr>
          <w:rFonts w:cs="Calibri"/>
          <w:lang w:val="lt-LT"/>
        </w:rPr>
        <w:t>.</w:t>
      </w:r>
      <w:r>
        <w:rPr>
          <w:rFonts w:eastAsia="Times New Roman" w:cs="Calibri"/>
          <w:lang w:val="lt-LT" w:eastAsia="en-US"/>
        </w:rPr>
        <w:t xml:space="preserve"> Ekonomiškai naudingiausiu pasiūlymu laikomas mažiausios kainos pasiūlymas.</w:t>
      </w:r>
    </w:p>
    <w:p>
      <w:pPr>
        <w:pStyle w:val="ListParagraph"/>
        <w:numPr>
          <w:ilvl w:val="0"/>
          <w:numId w:val="53"/>
        </w:numPr>
        <w:tabs>
          <w:tab w:val="clear" w:pos="720"/>
          <w:tab w:val="left" w:pos="851" w:leader="none"/>
          <w:tab w:val="left" w:pos="1276" w:leader="none"/>
        </w:tabs>
        <w:spacing w:lineRule="auto" w:line="240" w:before="0" w:after="0"/>
        <w:ind w:firstLine="567" w:left="0"/>
        <w:jc w:val="both"/>
        <w:rPr>
          <w:lang w:val="lt-LT"/>
        </w:rPr>
      </w:pPr>
      <w:r>
        <w:rPr>
          <w:rFonts w:cs="Calibri"/>
          <w:lang w:val="lt-LT"/>
        </w:rPr>
        <w:t>Bendrieji pasiūlymų vertinimo principai išdėstyti Bendrųjų pirkimo sąlygų 17 skyriuje ir Specialiųjų pirkimo sąlygų 9 skyriuje.</w:t>
      </w:r>
    </w:p>
    <w:p>
      <w:pPr>
        <w:pStyle w:val="ListParagraph"/>
        <w:tabs>
          <w:tab w:val="clear" w:pos="720"/>
          <w:tab w:val="left" w:pos="1418" w:leader="none"/>
        </w:tabs>
        <w:spacing w:lineRule="auto" w:line="240" w:before="0" w:after="0"/>
        <w:ind w:left="567"/>
        <w:jc w:val="both"/>
        <w:rPr>
          <w:rFonts w:cs="Calibri"/>
          <w:lang w:val="lt-LT"/>
        </w:rPr>
      </w:pPr>
      <w:r>
        <w:rPr>
          <w:rFonts w:cs="Calibri"/>
          <w:lang w:val="lt-LT"/>
        </w:rPr>
      </w:r>
    </w:p>
    <w:p>
      <w:pPr>
        <w:pStyle w:val="Standard"/>
        <w:tabs>
          <w:tab w:val="clear" w:pos="720"/>
          <w:tab w:val="left" w:pos="851" w:leader="none"/>
        </w:tabs>
        <w:spacing w:lineRule="auto" w:line="240" w:before="0" w:after="0"/>
        <w:jc w:val="center"/>
        <w:rPr>
          <w:lang w:val="lt-LT"/>
        </w:rPr>
      </w:pPr>
      <w:r>
        <w:rPr>
          <w:rFonts w:cs="Calibri"/>
          <w:bCs/>
          <w:smallCaps/>
          <w:sz w:val="22"/>
          <w:szCs w:val="22"/>
          <w:lang w:val="lt-LT"/>
        </w:rPr>
        <w:t>________________</w:t>
      </w:r>
      <w:r>
        <w:br w:type="page"/>
      </w:r>
    </w:p>
    <w:p>
      <w:pPr>
        <w:pStyle w:val="Heading2"/>
        <w:spacing w:before="0" w:after="0"/>
        <w:ind w:left="7513"/>
        <w:rPr>
          <w:lang w:val="lt-LT"/>
        </w:rPr>
      </w:pPr>
      <w:bookmarkStart w:id="82" w:name="_Ref39674283"/>
      <w:bookmarkStart w:id="83" w:name="_Ref39673580"/>
      <w:bookmarkStart w:id="84" w:name="_Ref39586171"/>
      <w:bookmarkStart w:id="85" w:name="_Toc170854182"/>
      <w:r>
        <w:rPr>
          <w:rFonts w:ascii="Calibri" w:hAnsi="Calibri"/>
          <w:color w:val="0070C0"/>
          <w:sz w:val="21"/>
          <w:szCs w:val="21"/>
          <w:lang w:val="lt-LT"/>
        </w:rPr>
        <w:t>Pirkimo sąlygų 8 priedas „Sutarties projektas“</w:t>
      </w:r>
      <w:bookmarkEnd w:id="82"/>
      <w:bookmarkEnd w:id="83"/>
      <w:bookmarkEnd w:id="84"/>
      <w:bookmarkEnd w:id="85"/>
    </w:p>
    <w:p>
      <w:pPr>
        <w:pStyle w:val="Standard"/>
        <w:suppressAutoHyphens w:val="false"/>
        <w:spacing w:lineRule="auto" w:line="240" w:before="0" w:after="0"/>
        <w:jc w:val="center"/>
        <w:rPr>
          <w:rFonts w:eastAsia="Times New Roman" w:cs="Calibri"/>
          <w:b/>
          <w:bCs/>
          <w:lang w:val="lt-LT"/>
        </w:rPr>
      </w:pPr>
      <w:r>
        <w:rPr>
          <w:rFonts w:eastAsia="Times New Roman" w:cs="Calibri"/>
          <w:b/>
          <w:bCs/>
          <w:lang w:val="lt-LT"/>
        </w:rPr>
      </w:r>
    </w:p>
    <w:p>
      <w:pPr>
        <w:pStyle w:val="Standard"/>
        <w:suppressAutoHyphens w:val="false"/>
        <w:spacing w:lineRule="auto" w:line="240" w:before="0" w:after="0"/>
        <w:jc w:val="center"/>
        <w:rPr>
          <w:lang w:val="lt-LT"/>
        </w:rPr>
      </w:pPr>
      <w:r>
        <w:rPr>
          <w:rFonts w:eastAsia="Times New Roman" w:cs="Calibri"/>
          <w:b/>
          <w:bCs/>
          <w:shd w:fill="auto" w:val="clear"/>
          <w:lang w:val="lt-LT"/>
        </w:rPr>
        <w:t>PRIENŲ RAJONO PIRMINĖS SVEIKATOS PRIEŽIŪROS CENTRO REKONSTRAVIMO DARBŲ RANGOS S</w:t>
      </w:r>
      <w:r>
        <w:rPr>
          <w:rFonts w:eastAsia="Times New Roman" w:cs="Calibri"/>
          <w:b/>
          <w:bCs/>
          <w:lang w:val="lt-LT"/>
        </w:rPr>
        <w:t>UTARTIS Nr.</w:t>
      </w:r>
    </w:p>
    <w:p>
      <w:pPr>
        <w:pStyle w:val="Standard"/>
        <w:suppressAutoHyphens w:val="false"/>
        <w:spacing w:lineRule="auto" w:line="240" w:before="0" w:after="0"/>
        <w:jc w:val="center"/>
        <w:rPr>
          <w:lang w:val="lt-LT"/>
        </w:rPr>
      </w:pPr>
      <w:r>
        <w:rPr>
          <w:rFonts w:eastAsia="Times New Roman" w:cs="Calibri"/>
          <w:lang w:val="lt-LT"/>
        </w:rPr>
        <w:t>2025 m.____________________ d.</w:t>
      </w:r>
    </w:p>
    <w:p>
      <w:pPr>
        <w:pStyle w:val="Standard"/>
        <w:suppressAutoHyphens w:val="false"/>
        <w:spacing w:lineRule="auto" w:line="240" w:before="0" w:after="0"/>
        <w:jc w:val="center"/>
        <w:rPr>
          <w:lang w:val="lt-LT"/>
        </w:rPr>
      </w:pPr>
      <w:r>
        <w:rPr>
          <w:rFonts w:eastAsia="Times New Roman" w:cs="Calibri"/>
          <w:lang w:val="lt-LT"/>
        </w:rPr>
        <w:t>Prienai</w:t>
      </w:r>
    </w:p>
    <w:p>
      <w:pPr>
        <w:pStyle w:val="Standard"/>
        <w:suppressAutoHyphens w:val="false"/>
        <w:spacing w:lineRule="auto" w:line="240" w:before="0" w:after="0"/>
        <w:jc w:val="both"/>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b/>
          <w:bCs/>
          <w:lang w:val="lt-LT"/>
        </w:rPr>
        <w:t xml:space="preserve">VšĮ Prienų rajono pirminės sveikatos priežiūros centras </w:t>
      </w:r>
      <w:r>
        <w:rPr>
          <w:rFonts w:eastAsia="Times New Roman" w:cs="Calibri"/>
          <w:lang w:val="lt-LT"/>
        </w:rPr>
        <w:t>(toliau</w:t>
      </w:r>
      <w:r>
        <w:rPr>
          <w:rFonts w:eastAsia="Times New Roman" w:cs="Calibri"/>
          <w:b/>
          <w:bCs/>
          <w:lang w:val="lt-LT"/>
        </w:rPr>
        <w:t xml:space="preserve"> </w:t>
      </w:r>
      <w:r>
        <w:rPr>
          <w:rFonts w:eastAsia="Times New Roman" w:cs="Calibri"/>
          <w:lang w:val="lt-LT"/>
        </w:rPr>
        <w:t>–</w:t>
      </w:r>
      <w:r>
        <w:rPr>
          <w:rFonts w:eastAsia="Times New Roman" w:cs="Calibri"/>
          <w:b/>
          <w:bCs/>
          <w:lang w:val="lt-LT"/>
        </w:rPr>
        <w:t xml:space="preserve"> Užsakovas</w:t>
      </w:r>
      <w:r>
        <w:rPr>
          <w:rFonts w:eastAsia="Times New Roman" w:cs="Calibri"/>
          <w:lang w:val="lt-LT"/>
        </w:rPr>
        <w:t>),</w:t>
      </w:r>
      <w:r>
        <w:rPr>
          <w:rFonts w:eastAsia="Times New Roman" w:cs="Calibri"/>
          <w:b/>
          <w:bCs/>
          <w:lang w:val="lt-LT"/>
        </w:rPr>
        <w:t xml:space="preserve"> </w:t>
      </w:r>
      <w:r>
        <w:rPr>
          <w:rFonts w:eastAsia="Times New Roman" w:cs="Calibri"/>
          <w:lang w:val="lt-LT"/>
        </w:rPr>
        <w:t xml:space="preserve">juridinio asmens kodas 190882171, Pušyno g. 4, Prienai LT-59115  Prienai, atstovaujama _____________________, veikiančio (-ios) pagal _______________________, </w:t>
      </w:r>
    </w:p>
    <w:p>
      <w:pPr>
        <w:pStyle w:val="Standard"/>
        <w:suppressAutoHyphens w:val="false"/>
        <w:spacing w:lineRule="auto" w:line="240" w:before="0" w:after="0"/>
        <w:ind w:firstLine="567"/>
        <w:jc w:val="both"/>
        <w:rPr>
          <w:lang w:val="lt-LT"/>
        </w:rPr>
      </w:pPr>
      <w:r>
        <w:rPr>
          <w:rFonts w:eastAsia="Times New Roman" w:cs="Calibri"/>
          <w:lang w:val="lt-LT"/>
        </w:rPr>
        <w:t>ir</w:t>
      </w:r>
    </w:p>
    <w:p>
      <w:pPr>
        <w:pStyle w:val="Standard"/>
        <w:suppressAutoHyphens w:val="false"/>
        <w:spacing w:lineRule="auto" w:line="240" w:before="0" w:after="0"/>
        <w:ind w:firstLine="567"/>
        <w:jc w:val="both"/>
        <w:rPr>
          <w:lang w:val="lt-LT"/>
        </w:rPr>
      </w:pPr>
      <w:r>
        <w:rPr>
          <w:rFonts w:eastAsia="Times New Roman" w:cs="Calibri"/>
          <w:lang w:val="lt-LT"/>
        </w:rPr>
        <w:t xml:space="preserve"> </w:t>
      </w:r>
      <w:r>
        <w:rPr>
          <w:rFonts w:eastAsia="Times New Roman" w:cs="Calibri"/>
          <w:bCs/>
          <w:lang w:val="lt-LT"/>
        </w:rPr>
        <w:t>_______________________</w:t>
      </w:r>
      <w:r>
        <w:rPr>
          <w:rFonts w:eastAsia="Times New Roman" w:cs="Calibri"/>
          <w:lang w:val="lt-LT"/>
        </w:rPr>
        <w:t xml:space="preserve"> (toliau – </w:t>
      </w:r>
      <w:r>
        <w:rPr>
          <w:rFonts w:eastAsia="Times New Roman" w:cs="Calibri"/>
          <w:b/>
          <w:bCs/>
          <w:lang w:val="lt-LT"/>
        </w:rPr>
        <w:t>Rangovas</w:t>
      </w:r>
      <w:r>
        <w:rPr>
          <w:rFonts w:eastAsia="Times New Roman" w:cs="Calibri"/>
          <w:lang w:val="lt-LT"/>
        </w:rPr>
        <w:t xml:space="preserve">), įmonės kodas _________________, buveinės adresas ________________________, atstovaujama (-as) _____________________________, veikiančio (-ios) pagal ________________, toliau Užsakovas ir Rangovas kiekvienas atskirai gali būti vadinami „Šalimi“, o abu kartu – „Šalimis“, sudarė šią sutartį (toliau – Sutartis), vadovaujantis atviro konkurso </w:t>
      </w:r>
      <w:r>
        <w:rPr>
          <w:rFonts w:eastAsia="Times New Roman" w:cs="Calibri"/>
          <w:b/>
          <w:bCs/>
          <w:lang w:val="lt-LT"/>
        </w:rPr>
        <w:t xml:space="preserve">„Prienų r. pirminės sveikatos priežiūros centro rekonstravimo darbai“ </w:t>
      </w:r>
      <w:r>
        <w:rPr>
          <w:rFonts w:eastAsia="Times New Roman" w:cs="Calibri"/>
          <w:lang w:val="lt-LT"/>
        </w:rPr>
        <w:t>sąlygomis ir susitarė dėl toliau išvardytų sąlygų.</w:t>
      </w:r>
    </w:p>
    <w:p>
      <w:pPr>
        <w:pStyle w:val="Standard"/>
        <w:suppressAutoHyphens w:val="false"/>
        <w:spacing w:lineRule="auto" w:line="240" w:before="0" w:after="0"/>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lang w:val="lt-LT"/>
        </w:rPr>
        <w:t>I. SUTARTIES DALYKAS IR OBJEKTAS</w:t>
      </w:r>
    </w:p>
    <w:p>
      <w:pPr>
        <w:pStyle w:val="Standard"/>
        <w:suppressAutoHyphens w:val="false"/>
        <w:spacing w:lineRule="auto" w:line="240" w:before="0" w:after="0"/>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lang w:val="lt-LT"/>
        </w:rPr>
        <w:t>1.1. Šia Sutartimi Rangovas įsipareigoja savo rizika per Sutartyje numatytą terminą ir Sutartyje nustatyto</w:t>
      </w:r>
      <w:r>
        <w:rPr>
          <w:rFonts w:eastAsia="Times New Roman" w:cs="Calibri"/>
          <w:color w:val="000000"/>
          <w:lang w:val="lt-LT"/>
        </w:rPr>
        <w:t xml:space="preserve">mis sąlygomis atlikti </w:t>
      </w:r>
      <w:r>
        <w:rPr>
          <w:rFonts w:eastAsia="Times New Roman" w:cs="Calibri"/>
          <w:b/>
          <w:bCs/>
          <w:color w:val="000000"/>
          <w:lang w:val="lt-LT"/>
        </w:rPr>
        <w:t>Prienų r. pirminės sveikatos priežiūros centro (PSPC) rekonstravimo darbus</w:t>
      </w:r>
      <w:r>
        <w:rPr>
          <w:rFonts w:eastAsia="Times New Roman" w:cs="Calibri"/>
          <w:color w:val="000000"/>
          <w:lang w:val="lt-LT"/>
        </w:rPr>
        <w:t xml:space="preserve"> (toliau – Darbai), ištaisyti defektus, tinkamai parengti išpildomąją dokumentaciją, kada</w:t>
      </w:r>
      <w:r>
        <w:rPr>
          <w:rFonts w:eastAsia="Times New Roman" w:cs="Calibri"/>
          <w:lang w:val="lt-LT"/>
        </w:rPr>
        <w:t>strines bylas, o Užsakovas įsipareigoja sudaryti Rangovui būtinas sąlygas Darbams atlikti, Sutartyje numatyta tvarka priimti Rangovo atliktus Darbus ir Rangovui sumokėti Sutarties kainą Sutartyje numatytomis sąlygomis ir tvarka.</w:t>
      </w:r>
    </w:p>
    <w:p>
      <w:pPr>
        <w:pStyle w:val="Standard"/>
        <w:suppressAutoHyphens w:val="false"/>
        <w:spacing w:lineRule="auto" w:line="240" w:before="0" w:after="0"/>
        <w:ind w:firstLine="567"/>
        <w:jc w:val="both"/>
        <w:rPr>
          <w:lang w:val="lt-LT"/>
        </w:rPr>
      </w:pPr>
      <w:r>
        <w:rPr>
          <w:rFonts w:eastAsia="Times New Roman" w:cs="Calibri"/>
          <w:lang w:val="lt-LT"/>
        </w:rPr>
        <w:t xml:space="preserve">1.2. </w:t>
      </w:r>
      <w:r>
        <w:rPr>
          <w:rFonts w:eastAsia="Times New Roman" w:cs="Calibri"/>
          <w:spacing w:val="-4"/>
          <w:lang w:val="lt-LT"/>
        </w:rPr>
        <w:t>Darbai atliekami pagal</w:t>
      </w:r>
      <w:r>
        <w:rPr>
          <w:rFonts w:eastAsia="Times New Roman" w:cs="Calibri"/>
          <w:b/>
          <w:bCs/>
          <w:spacing w:val="-4"/>
          <w:lang w:val="lt-LT"/>
        </w:rPr>
        <w:t xml:space="preserve"> </w:t>
      </w:r>
      <w:r>
        <w:rPr>
          <w:rFonts w:eastAsia="Times New Roman" w:cs="Calibri"/>
          <w:spacing w:val="-4"/>
          <w:lang w:val="lt-LT"/>
        </w:rPr>
        <w:t>parengtą</w:t>
      </w:r>
      <w:r>
        <w:rPr>
          <w:rFonts w:eastAsia="Times New Roman" w:cs="Calibri"/>
          <w:b/>
          <w:bCs/>
          <w:spacing w:val="-4"/>
          <w:lang w:val="lt-LT"/>
        </w:rPr>
        <w:t xml:space="preserve"> </w:t>
      </w:r>
      <w:r>
        <w:rPr>
          <w:rFonts w:eastAsia="Times New Roman" w:cs="Calibri"/>
          <w:spacing w:val="-4"/>
          <w:lang w:val="lt-LT"/>
        </w:rPr>
        <w:t xml:space="preserve">techninį projektą </w:t>
      </w:r>
      <w:r>
        <w:rPr>
          <w:rFonts w:eastAsia="Times New Roman" w:cs="Calibri"/>
          <w:b/>
          <w:bCs/>
          <w:spacing w:val="-4"/>
          <w:lang w:val="lt-LT"/>
        </w:rPr>
        <w:t>„Gydymo paskirties pastato, Revuonos g. 4, Prienai, rekonstravimo projektas</w:t>
      </w:r>
      <w:r>
        <w:rPr>
          <w:rFonts w:eastAsia="Times New Roman" w:cs="Calibri"/>
          <w:spacing w:val="-4"/>
          <w:lang w:val="lt-LT"/>
        </w:rPr>
        <w:t>“.</w:t>
      </w:r>
    </w:p>
    <w:p>
      <w:pPr>
        <w:pStyle w:val="Standard"/>
        <w:suppressAutoHyphens w:val="false"/>
        <w:spacing w:lineRule="auto" w:line="240" w:before="0" w:after="0"/>
        <w:ind w:firstLine="567"/>
        <w:jc w:val="both"/>
        <w:rPr>
          <w:lang w:val="lt-LT"/>
        </w:rPr>
      </w:pPr>
      <w:r>
        <w:rPr>
          <w:rFonts w:eastAsia="Times New Roman" w:cs="Calibri"/>
          <w:spacing w:val="-4"/>
          <w:lang w:val="lt-LT"/>
        </w:rPr>
        <w:t xml:space="preserve">1.3. Darbų atlikimo vieta – </w:t>
      </w:r>
      <w:r>
        <w:rPr>
          <w:rFonts w:eastAsia="Times New Roman" w:cs="Calibri"/>
          <w:b/>
          <w:bCs/>
          <w:spacing w:val="-4"/>
          <w:lang w:val="lt-LT"/>
        </w:rPr>
        <w:t>Revuonos g. 4, Prienuose, Prienų r. sav.</w:t>
      </w:r>
    </w:p>
    <w:p>
      <w:pPr>
        <w:pStyle w:val="Standard"/>
        <w:suppressAutoHyphens w:val="false"/>
        <w:spacing w:lineRule="auto" w:line="240" w:before="0" w:after="0"/>
        <w:ind w:firstLine="567"/>
        <w:jc w:val="both"/>
        <w:rPr>
          <w:lang w:val="lt-LT"/>
        </w:rPr>
      </w:pPr>
      <w:r>
        <w:rPr>
          <w:rFonts w:eastAsia="Times New Roman" w:cs="Calibri"/>
          <w:bCs/>
          <w:spacing w:val="-4"/>
          <w:lang w:val="lt-LT"/>
        </w:rPr>
        <w:t>1.4.</w:t>
      </w:r>
      <w:r>
        <w:rPr>
          <w:rFonts w:eastAsia="Times New Roman" w:cs="Calibri"/>
          <w:b/>
          <w:bCs/>
          <w:spacing w:val="-4"/>
          <w:lang w:val="lt-LT"/>
        </w:rPr>
        <w:t xml:space="preserve"> </w:t>
      </w:r>
      <w:r>
        <w:rPr>
          <w:rFonts w:eastAsia="Times New Roman" w:cs="Calibri"/>
          <w:lang w:val="lt-LT"/>
        </w:rPr>
        <w:t>Darbai turi būti atlikti pagal Lietuvos Respublikos įstatymų, teisės aktų, statybos techninių reglamentų reikalavimus.</w:t>
      </w:r>
    </w:p>
    <w:p>
      <w:pPr>
        <w:pStyle w:val="Standard"/>
        <w:suppressAutoHyphens w:val="false"/>
        <w:spacing w:lineRule="auto" w:line="240" w:before="0" w:after="0"/>
        <w:ind w:firstLine="567"/>
        <w:jc w:val="both"/>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lang w:val="lt-LT"/>
        </w:rPr>
        <w:t>II. SUTARTIES KAINA IR KAINODAROS TAISYKLĖS</w:t>
      </w:r>
    </w:p>
    <w:p>
      <w:pPr>
        <w:pStyle w:val="Standard"/>
        <w:suppressAutoHyphens w:val="false"/>
        <w:spacing w:lineRule="auto" w:line="240" w:before="0" w:after="0"/>
        <w:jc w:val="center"/>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lang w:val="lt-LT"/>
        </w:rPr>
        <w:t>2.1. Pradinė Sutarties vertė __________________ Eur (_____________) be PVM. PVM sudaro ____________Eur (___________________). Bendra Sutarties kaina ______________ Eur (________________) su PVM.</w:t>
      </w:r>
    </w:p>
    <w:p>
      <w:pPr>
        <w:pStyle w:val="Standard"/>
        <w:suppressAutoHyphens w:val="false"/>
        <w:spacing w:lineRule="auto" w:line="240" w:before="0" w:after="0"/>
        <w:ind w:firstLine="567"/>
        <w:jc w:val="both"/>
        <w:rPr>
          <w:lang w:val="lt-LT"/>
        </w:rPr>
      </w:pPr>
      <w:r>
        <w:rPr>
          <w:rFonts w:eastAsia="Times New Roman" w:cs="Calibri"/>
          <w:lang w:val="lt-LT"/>
        </w:rPr>
        <w:t>2.2. Sutarties kaina apima visus Rangovo sutartinius įsipareigojimus ir visa, kas būtina tinkamam Sutartyje ir jos prieduose nurodytų Darbų įvykdymui, jų užbaigimui. Į kainą 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Rangovo pasiūlymo kaina turi apimti ir tuos darbus, kurie nors ir nebuvo tiesiogiai nustatyti pirkimo dokumentuose ir Sutartyje, bet yra būtini Sutarčiai įvykdyti, o Rangovas turėjo ir galėjo juos numatyti ir įvertinti dar iki pasiūlymų pateikimo termino pabaigos.</w:t>
      </w:r>
    </w:p>
    <w:p>
      <w:pPr>
        <w:pStyle w:val="Standard"/>
        <w:suppressAutoHyphens w:val="false"/>
        <w:spacing w:lineRule="auto" w:line="240" w:before="0" w:after="0"/>
        <w:ind w:firstLine="567"/>
        <w:jc w:val="both"/>
        <w:rPr>
          <w:i/>
          <w:i/>
          <w:color w:val="242424"/>
        </w:rPr>
      </w:pPr>
      <w:r>
        <w:rPr>
          <w:rFonts w:eastAsia="Times New Roman" w:cs="Calibri"/>
          <w:lang w:val="lt-LT"/>
        </w:rPr>
        <w:t xml:space="preserve">2.3. Šiai Sutarčiai taikoma fiksuotos kainos kainodara. </w:t>
      </w:r>
      <w:r>
        <w:rPr>
          <w:rFonts w:eastAsia="Times New Roman" w:cs="Calibri"/>
          <w:i w:val="false"/>
          <w:iCs w:val="false"/>
          <w:color w:val="242424"/>
          <w:lang w:val="lt-LT"/>
        </w:rPr>
        <w:t xml:space="preserve">Statinio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w:t>
      </w:r>
      <w:r>
        <w:rPr>
          <w:rFonts w:eastAsia="Times New Roman" w:cs="Calibri"/>
          <w:i w:val="false"/>
          <w:iCs w:val="false"/>
          <w:color w:val="000000"/>
          <w:lang w:val="lt-LT"/>
        </w:rPr>
        <w:t xml:space="preserve"> </w:t>
      </w:r>
      <w:r>
        <w:rPr>
          <w:rFonts w:eastAsia="Times New Roman" w:cs="Calibri"/>
          <w:color w:val="000000"/>
          <w:lang w:val="lt-LT"/>
        </w:rPr>
        <w:t xml:space="preserve">ir neturi būti laikomas faktiniu ir tiksliu Darbų, kuriuos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w:t>
      </w:r>
      <w:r>
        <w:rPr>
          <w:rFonts w:eastAsia="Times New Roman" w:cs="Calibri"/>
          <w:i w:val="false"/>
          <w:iCs w:val="false"/>
          <w:color w:val="242424"/>
          <w:lang w:val="lt-LT"/>
        </w:rPr>
        <w:t>jei nesikeičia darbų apimtys, didesni atliktų darbų kiekiai nelaikomi papildomais darbais, o mažesni – atsisakomais darbais.</w:t>
      </w:r>
      <w:r>
        <w:rPr>
          <w:rFonts w:eastAsia="Times New Roman" w:cs="Calibri"/>
          <w:i w:val="false"/>
          <w:iCs w:val="false"/>
          <w:color w:val="000000"/>
          <w:lang w:val="lt-LT"/>
        </w:rPr>
        <w:t> </w:t>
      </w:r>
      <w:r>
        <w:rPr>
          <w:rFonts w:eastAsia="Times New Roman" w:cs="Calibri"/>
          <w:color w:val="000000"/>
          <w:lang w:val="lt-LT"/>
        </w:rPr>
        <w:t xml:space="preserve"> </w:t>
      </w:r>
    </w:p>
    <w:p>
      <w:pPr>
        <w:pStyle w:val="Standard"/>
        <w:suppressAutoHyphens w:val="false"/>
        <w:spacing w:lineRule="auto" w:line="240" w:before="0" w:after="0"/>
        <w:ind w:firstLine="567"/>
        <w:jc w:val="both"/>
        <w:rPr>
          <w:lang w:val="lt-LT"/>
        </w:rPr>
      </w:pPr>
      <w:r>
        <w:rPr>
          <w:rFonts w:eastAsia="Times New Roman" w:cs="Calibri"/>
          <w:lang w:val="lt-LT"/>
        </w:rPr>
        <w:t>2.4. Užsakovas už visą pirkimo dokumentuose ir Sutartyje numatytą pirkimo objektą sumoka 2.1 papunktyje nurodytą kainą, jeigu faktinis ir pirkimo dokumentuose bei Sutartyje Užsakovo nurodytų Darbų kiekis (skaičiuojant pinigine verte) nesiskiria daugiau kaip 15 procentų, skaičiuojant nuo pradinės Sutarties vertės.</w:t>
      </w:r>
    </w:p>
    <w:p>
      <w:pPr>
        <w:pStyle w:val="Standard"/>
        <w:suppressAutoHyphens w:val="false"/>
        <w:spacing w:lineRule="auto" w:line="240" w:before="0" w:after="0"/>
        <w:ind w:firstLine="567"/>
        <w:jc w:val="both"/>
        <w:rPr>
          <w:lang w:val="lt-LT"/>
        </w:rPr>
      </w:pPr>
      <w:r>
        <w:rPr>
          <w:rFonts w:eastAsia="Times New Roman" w:cs="Calibri"/>
          <w:lang w:val="lt-LT"/>
        </w:rPr>
        <w:t>2.5. Sutarties kaina už atliktus Darbus yra fiksuota ir nekintama, ir nesiskiria nuo kainų, nurodytų Rangovo pasiūlyme pirkimui, išskyrus šioje Sutartyje numatytus kainų koregavimus. Sutarties kaina gali kisti (didėti ar mažėti) dėl valstybės institucijų priimtų įstatymų ir įstatymų lydimųjų teisės aktų, keičiančių pridėtinės vertės mokesčio (toliau – PVM) dydį, kurie turi tiesioginės įtakos Rangovo Darbų sąnaudų pasikeitimui, ir priimti šios Sutarties galiojimo metu. Tokiu atveju Sutarties kaina, atitinkamai didinama arba mažinama, jei pagal galiojančius teisės aktus Rangovui reikia mokėti PVM. Sutarties kainos perskaičiavimo formulė pasikeitus PVM tarifui:</w:t>
      </w:r>
    </w:p>
    <w:p>
      <w:pPr>
        <w:pStyle w:val="Standard"/>
        <w:suppressAutoHyphens w:val="false"/>
        <w:spacing w:lineRule="auto" w:line="240" w:before="0" w:after="0"/>
        <w:ind w:firstLine="567"/>
        <w:jc w:val="both"/>
        <w:rPr>
          <w:lang w:val="lt-LT"/>
        </w:rPr>
      </w:pPr>
      <w:r>
        <w:rPr>
          <w:lang w:val="lt-LT"/>
        </w:rPr>
      </w:r>
    </w:p>
    <w:p>
      <w:pPr>
        <w:pStyle w:val="Standard"/>
        <w:spacing w:lineRule="auto" w:line="240" w:before="0" w:after="0"/>
        <w:ind w:left="629"/>
        <w:rPr>
          <w:lang w:val="lt-LT"/>
        </w:rPr>
      </w:pPr>
      <w:r>
        <w:rPr>
          <w:lang w:val="lt-LT"/>
        </w:rPr>
        <w:t>S</w:t>
      </w:r>
      <w:r>
        <w:rPr>
          <w:position w:val="-2"/>
          <w:sz w:val="17"/>
          <w:lang w:val="lt-LT"/>
        </w:rPr>
        <w:t>n</w:t>
      </w:r>
      <w:r>
        <w:rPr>
          <w:lang w:val="lt-LT"/>
        </w:rPr>
        <w:t xml:space="preserve"> = A + ((S</w:t>
      </w:r>
      <w:r>
        <w:rPr>
          <w:position w:val="-2"/>
          <w:sz w:val="17"/>
          <w:lang w:val="lt-LT"/>
        </w:rPr>
        <w:t>s</w:t>
      </w:r>
      <w:r>
        <w:rPr>
          <w:lang w:val="lt-LT"/>
        </w:rPr>
        <w:t>-A)/(1+T</w:t>
      </w:r>
      <w:r>
        <w:rPr>
          <w:position w:val="-2"/>
          <w:sz w:val="17"/>
          <w:lang w:val="lt-LT"/>
        </w:rPr>
        <w:t>s</w:t>
      </w:r>
      <w:r>
        <w:rPr>
          <w:lang w:val="lt-LT"/>
        </w:rPr>
        <w:t>/100))*(1+T</w:t>
      </w:r>
      <w:r>
        <w:rPr>
          <w:position w:val="-2"/>
          <w:sz w:val="17"/>
          <w:lang w:val="lt-LT"/>
        </w:rPr>
        <w:t>n</w:t>
      </w:r>
      <w:r>
        <w:rPr>
          <w:lang w:val="lt-LT"/>
        </w:rPr>
        <w:t>/100)</w:t>
      </w:r>
    </w:p>
    <w:p>
      <w:pPr>
        <w:pStyle w:val="Textbody"/>
        <w:spacing w:lineRule="auto" w:line="240" w:before="0" w:after="0"/>
        <w:ind w:hanging="0" w:left="629"/>
        <w:jc w:val="left"/>
        <w:rPr>
          <w:lang w:val="lt-LT"/>
        </w:rPr>
      </w:pPr>
      <w:r>
        <w:rPr>
          <w:rFonts w:eastAsia="Times New Roman" w:cs="Calibri"/>
          <w:lang w:val="lt-LT"/>
        </w:rPr>
        <w:t>S</w:t>
      </w:r>
      <w:r>
        <w:rPr>
          <w:rFonts w:eastAsia="Times New Roman" w:cs="Calibri"/>
          <w:position w:val="-2"/>
          <w:sz w:val="17"/>
          <w:lang w:val="lt-LT"/>
        </w:rPr>
        <w:t>n</w:t>
      </w:r>
      <w:r>
        <w:rPr>
          <w:rFonts w:eastAsia="Times New Roman" w:cs="Calibri"/>
          <w:lang w:val="lt-LT"/>
        </w:rPr>
        <w:t xml:space="preserve"> - perskaičiuota Sutarties kaina Eur su PVM;</w:t>
      </w:r>
    </w:p>
    <w:p>
      <w:pPr>
        <w:pStyle w:val="Textbody"/>
        <w:spacing w:lineRule="auto" w:line="240" w:before="0" w:after="0"/>
        <w:ind w:hanging="0" w:left="629"/>
        <w:jc w:val="left"/>
        <w:rPr>
          <w:lang w:val="lt-LT"/>
        </w:rPr>
      </w:pPr>
      <w:r>
        <w:rPr>
          <w:rFonts w:eastAsia="Times New Roman" w:cs="Calibri"/>
          <w:lang w:val="lt-LT"/>
        </w:rPr>
        <w:t>S</w:t>
      </w:r>
      <w:r>
        <w:rPr>
          <w:rFonts w:eastAsia="Times New Roman" w:cs="Calibri"/>
          <w:position w:val="-2"/>
          <w:sz w:val="17"/>
          <w:lang w:val="lt-LT"/>
        </w:rPr>
        <w:t>s</w:t>
      </w:r>
      <w:r>
        <w:rPr>
          <w:rFonts w:eastAsia="Times New Roman" w:cs="Calibri"/>
          <w:lang w:val="lt-LT"/>
        </w:rPr>
        <w:t xml:space="preserve"> - Sutarties kaina Eur su PVM iki perskaičiavimo;</w:t>
      </w:r>
    </w:p>
    <w:p>
      <w:pPr>
        <w:pStyle w:val="Textbody"/>
        <w:spacing w:lineRule="auto" w:line="240" w:before="0" w:after="0"/>
        <w:ind w:hanging="0" w:left="629"/>
        <w:jc w:val="left"/>
        <w:rPr>
          <w:lang w:val="lt-LT"/>
        </w:rPr>
      </w:pPr>
      <w:r>
        <w:rPr>
          <w:rFonts w:eastAsia="Times New Roman" w:cs="Calibri"/>
          <w:lang w:val="lt-LT"/>
        </w:rPr>
        <w:t xml:space="preserve">A - </w:t>
      </w:r>
      <w:r>
        <w:rPr>
          <w:rFonts w:eastAsia="Times New Roman" w:cs="Calibri"/>
          <w:color w:val="000000"/>
          <w:lang w:val="lt-LT"/>
        </w:rPr>
        <w:t xml:space="preserve">vykdytų (užaktuotų) Darbų kaina Eur su PVM </w:t>
      </w:r>
      <w:r>
        <w:rPr>
          <w:rFonts w:eastAsia="Times New Roman" w:cs="Calibri"/>
          <w:lang w:val="lt-LT"/>
        </w:rPr>
        <w:t>iki perskaičiavimo;</w:t>
      </w:r>
    </w:p>
    <w:p>
      <w:pPr>
        <w:pStyle w:val="Textbody"/>
        <w:spacing w:lineRule="auto" w:line="240" w:before="0" w:after="0"/>
        <w:ind w:hanging="0" w:left="629"/>
        <w:jc w:val="left"/>
        <w:rPr>
          <w:lang w:val="lt-LT"/>
        </w:rPr>
      </w:pPr>
      <w:r>
        <w:rPr>
          <w:rFonts w:eastAsia="Times New Roman" w:cs="Calibri"/>
          <w:lang w:val="lt-LT"/>
        </w:rPr>
        <w:t>T</w:t>
      </w:r>
      <w:r>
        <w:rPr>
          <w:rFonts w:eastAsia="Times New Roman" w:cs="Calibri"/>
          <w:position w:val="-2"/>
          <w:sz w:val="17"/>
          <w:lang w:val="lt-LT"/>
        </w:rPr>
        <w:t>s</w:t>
      </w:r>
      <w:r>
        <w:rPr>
          <w:rFonts w:eastAsia="Times New Roman" w:cs="Calibri"/>
          <w:lang w:val="lt-LT"/>
        </w:rPr>
        <w:t xml:space="preserve"> - senas PVM tarifas (procentais);</w:t>
      </w:r>
    </w:p>
    <w:p>
      <w:pPr>
        <w:pStyle w:val="Textbody"/>
        <w:spacing w:lineRule="auto" w:line="240" w:before="0" w:after="0"/>
        <w:ind w:hanging="0" w:left="629"/>
        <w:jc w:val="left"/>
        <w:rPr>
          <w:lang w:val="lt-LT"/>
        </w:rPr>
      </w:pPr>
      <w:r>
        <w:rPr>
          <w:rFonts w:eastAsia="Times New Roman" w:cs="Calibri"/>
          <w:lang w:val="lt-LT"/>
        </w:rPr>
        <w:t>T</w:t>
      </w:r>
      <w:r>
        <w:rPr>
          <w:rFonts w:eastAsia="Times New Roman" w:cs="Calibri"/>
          <w:position w:val="-2"/>
          <w:sz w:val="17"/>
          <w:lang w:val="lt-LT"/>
        </w:rPr>
        <w:t>n</w:t>
      </w:r>
      <w:r>
        <w:rPr>
          <w:rFonts w:eastAsia="Times New Roman" w:cs="Calibri"/>
          <w:lang w:val="lt-LT"/>
        </w:rPr>
        <w:t xml:space="preserve"> - naujas PVM tarifas (procentais).</w:t>
      </w:r>
    </w:p>
    <w:p>
      <w:pPr>
        <w:pStyle w:val="Textbody"/>
        <w:spacing w:lineRule="auto" w:line="240" w:before="0" w:after="0"/>
        <w:ind w:hanging="0"/>
        <w:jc w:val="left"/>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lang w:val="lt-LT"/>
        </w:rPr>
        <w:t>2.5.1. Perskaičiavimas atliekamas ne vėliau kaip per 10 dienų po teisės akto įsigaliojimo dienos dėl PVM dydžio pasikeitimo. Perskaičiavimas įforminamas Sutarties Šalių rašytiniu susitarimu, kuris tampa neatsiejama Sutarties dalimi. Perskaičiuojama tik tų Darbų kaina, kurie vykdomi ir jų rezultatai (tarpiniai rezultatai) šios Sutarties nustatyta tvarka perduodami Užsakovui po PVM mokesčio tarifo pasikeitimo. Sutarties kaina pasikeitus kitiems mokesčiams neperskaičiuojama.</w:t>
      </w:r>
    </w:p>
    <w:p>
      <w:pPr>
        <w:pStyle w:val="Standard"/>
        <w:suppressAutoHyphens w:val="false"/>
        <w:spacing w:lineRule="auto" w:line="240" w:before="0" w:after="0"/>
        <w:ind w:firstLine="567"/>
        <w:jc w:val="both"/>
        <w:rPr>
          <w:lang w:val="lt-LT"/>
        </w:rPr>
      </w:pPr>
      <w:r>
        <w:rPr>
          <w:rFonts w:eastAsia="Times New Roman" w:cs="Calibri"/>
          <w:lang w:val="lt-LT"/>
        </w:rPr>
        <w:t>2.6.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w:t>
      </w:r>
    </w:p>
    <w:p>
      <w:pPr>
        <w:pStyle w:val="Standard"/>
        <w:suppressAutoHyphens w:val="false"/>
        <w:spacing w:lineRule="auto" w:line="240" w:before="0" w:after="0"/>
        <w:ind w:firstLine="567"/>
        <w:jc w:val="both"/>
        <w:rPr>
          <w:lang w:val="lt-LT"/>
        </w:rPr>
      </w:pPr>
      <w:r>
        <w:rPr>
          <w:rFonts w:eastAsia="Times New Roman" w:cs="Calibri"/>
          <w:lang w:val="lt-LT"/>
        </w:rPr>
        <w:t>2.7. Nepriklausomai nuo Rangovo atliktų Darbų, dėl kurių nėra susitarta šioje Sutartyje nustatyta tvarka, apimties, Sutarties kaina negali būti keičiama, išskyrus šiais nurodytais atvejais:</w:t>
      </w:r>
    </w:p>
    <w:p>
      <w:pPr>
        <w:pStyle w:val="Standard"/>
        <w:suppressAutoHyphens w:val="false"/>
        <w:spacing w:lineRule="auto" w:line="240" w:before="0" w:after="0"/>
        <w:ind w:firstLine="567"/>
        <w:jc w:val="both"/>
        <w:rPr>
          <w:lang w:val="lt-LT"/>
        </w:rPr>
      </w:pPr>
      <w:r>
        <w:rPr>
          <w:rFonts w:eastAsia="Times New Roman" w:cs="Calibri"/>
          <w:lang w:val="lt-LT"/>
        </w:rPr>
        <w:t>2.7.1. pagal Sutarties 12 skyriaus nuostatas įforminus pakeitimą Sutarties kaina gali būti koreguojama papildomų / keičiamų / nevykdomų Darbų sumomis sudarant susitarimą dėl Sutarties kainos koregavimo. Papildomų / keičiamų / nevykdomų Darbų kainos apskaičiuojamos žemiau pateikiamais būdais, nustatant aukščiau esančio būdo taikymo prioritetą, t. y. tik nesant galimybės taikyti aukščiau esantį būdą, gali būti taikomas žemiau esantis būdas:</w:t>
      </w:r>
    </w:p>
    <w:p>
      <w:pPr>
        <w:pStyle w:val="Standard"/>
        <w:suppressAutoHyphens w:val="false"/>
        <w:spacing w:lineRule="auto" w:line="240" w:before="0" w:after="0"/>
        <w:ind w:firstLine="567"/>
        <w:jc w:val="both"/>
        <w:rPr>
          <w:lang w:val="lt-LT"/>
        </w:rPr>
      </w:pPr>
      <w:r>
        <w:rPr>
          <w:rFonts w:eastAsia="Times New Roman" w:cs="Calibri"/>
          <w:lang w:val="lt-LT"/>
        </w:rPr>
        <w:t>2.7.1.1. pritaikant Sutartyje numatytų Darbų kainą (jei Sutartyje nustatyti tam tikrų konkrečių Darbų įkainiai ar</w:t>
      </w:r>
      <w:r>
        <w:rPr>
          <w:rFonts w:eastAsia="Times New Roman" w:cs="Calibri"/>
          <w:shd w:fill="FFFF00" w:val="clear"/>
          <w:lang w:val="lt-LT"/>
        </w:rPr>
        <w:t xml:space="preserve"> </w:t>
      </w:r>
      <w:r>
        <w:rPr>
          <w:rFonts w:eastAsia="Times New Roman" w:cs="Calibri"/>
          <w:lang w:val="lt-LT"/>
        </w:rPr>
        <w:t>pateikti sąnaudų kiekių žiniaraščiai su konkrečių Darbų įkainiais), jei įmanoma:</w:t>
      </w:r>
    </w:p>
    <w:p>
      <w:pPr>
        <w:pStyle w:val="ListParagraph"/>
        <w:numPr>
          <w:ilvl w:val="0"/>
          <w:numId w:val="12"/>
        </w:numPr>
        <w:suppressAutoHyphens w:val="false"/>
        <w:spacing w:lineRule="auto" w:line="240" w:before="0" w:after="0"/>
        <w:ind w:hanging="360" w:left="851"/>
        <w:jc w:val="both"/>
        <w:rPr>
          <w:lang w:val="lt-LT"/>
        </w:rPr>
      </w:pPr>
      <w:r>
        <w:rPr>
          <w:rFonts w:eastAsia="Times New Roman" w:cs="Calibri"/>
          <w:color w:val="000000"/>
          <w:lang w:val="lt-LT"/>
        </w:rPr>
        <w:t>pritaikant Sutartyje ar sąnaudų kiekių žiniaraščiuose nurodytų Darbų įkainius, arba</w:t>
      </w:r>
    </w:p>
    <w:p>
      <w:pPr>
        <w:pStyle w:val="ListParagraph"/>
        <w:numPr>
          <w:ilvl w:val="0"/>
          <w:numId w:val="54"/>
        </w:numPr>
        <w:suppressAutoHyphens w:val="false"/>
        <w:spacing w:lineRule="auto" w:line="240" w:before="0" w:after="0"/>
        <w:ind w:hanging="360" w:left="851"/>
        <w:jc w:val="both"/>
        <w:rPr>
          <w:lang w:val="lt-LT"/>
        </w:rPr>
      </w:pPr>
      <w:r>
        <w:rPr>
          <w:rFonts w:eastAsia="Times New Roman" w:cs="Calibri"/>
          <w:color w:val="000000"/>
          <w:lang w:val="lt-LT"/>
        </w:rPr>
        <w:t>išskaičiuojant kainos dalį iš Sutartyje ar sąnaudų kiekių žiniaraščiuose numatyto įkainio, arba</w:t>
      </w:r>
    </w:p>
    <w:p>
      <w:pPr>
        <w:pStyle w:val="ListParagraph"/>
        <w:numPr>
          <w:ilvl w:val="0"/>
          <w:numId w:val="55"/>
        </w:numPr>
        <w:suppressAutoHyphens w:val="false"/>
        <w:spacing w:lineRule="auto" w:line="240" w:before="0" w:after="0"/>
        <w:ind w:hanging="360" w:left="851"/>
        <w:jc w:val="both"/>
        <w:rPr>
          <w:lang w:val="lt-LT"/>
        </w:rPr>
      </w:pPr>
      <w:r>
        <w:rPr>
          <w:rFonts w:eastAsia="Times New Roman" w:cs="Calibri"/>
          <w:color w:val="000000"/>
          <w:lang w:val="lt-LT"/>
        </w:rPr>
        <w:t>pritaikant Sutartyje ar sąnaudų kiekių žiniaraščiuose numatytus panašių Darbų įkainius. Panašius darbus turi pagrįsti ir nustatyti Užsakovas.</w:t>
      </w:r>
    </w:p>
    <w:p>
      <w:pPr>
        <w:pStyle w:val="Standard"/>
        <w:suppressAutoHyphens w:val="false"/>
        <w:spacing w:lineRule="auto" w:line="240" w:before="0" w:after="0"/>
        <w:ind w:firstLine="567"/>
        <w:jc w:val="both"/>
        <w:rPr>
          <w:lang w:val="lt-LT"/>
        </w:rPr>
      </w:pPr>
      <w:r>
        <w:rPr>
          <w:rFonts w:eastAsia="Times New Roman" w:cs="Calibri"/>
          <w:color w:val="000000"/>
          <w:lang w:val="lt-LT"/>
        </w:rPr>
        <w:t>2.7.1.2. įvertinant Darbų pagrįstas tiesiogines (darbo užmokesčio ir su juo susijusius mokesčius, statybos produktų ir įrenginių, mechanizmų eksploatacijos sąnaudas, statybvietės) bei netiesiogines (pridėtines, pelno) išlaidas pagal Kainodaros taisyklių nustatymo metodikos (toliau – Metodika), patvirtintos Viešųjų pirkimų tarnybos direktoriaus 2017 m. birželio 28 d. įsakymu Nr. 1S-95 „Dėl Kainodaros taisyklių nustatymo metodikos patvirtinimo“ (Viešųjų pirkimų tarnybos direktoriaus 2019 m. sausio 24 d. įsakymo Nr. 1S-13 redakcija) priedo „Tiesioginių ir netiesioginių išlaidų apskaičiavimo taisyklės“ nuostatas.</w:t>
      </w:r>
    </w:p>
    <w:p>
      <w:pPr>
        <w:pStyle w:val="Standard"/>
        <w:suppressAutoHyphens w:val="false"/>
        <w:spacing w:lineRule="auto" w:line="240" w:before="0" w:after="0"/>
        <w:ind w:firstLine="567"/>
        <w:jc w:val="both"/>
        <w:rPr>
          <w:lang w:val="lt-LT"/>
        </w:rPr>
      </w:pPr>
      <w:r>
        <w:rPr>
          <w:rFonts w:eastAsia="Times New Roman" w:cs="Calibri"/>
          <w:color w:val="000000"/>
          <w:lang w:val="lt-LT"/>
        </w:rPr>
        <w:t>2.7.2. Sutarties kaina gali būti peržiūrima dėl kainų lygio pokyčio bet kurios iš Šalių rašytiniu prašymu. Peržiūros momentas yra Šalies prašymo kitai Šaliai peržiūrėti Sutarties kainą gavimo diena.</w:t>
      </w:r>
    </w:p>
    <w:p>
      <w:pPr>
        <w:pStyle w:val="Standard"/>
        <w:suppressAutoHyphens w:val="false"/>
        <w:spacing w:lineRule="auto" w:line="240" w:before="0" w:after="0"/>
        <w:ind w:firstLine="567"/>
        <w:jc w:val="both"/>
        <w:rPr>
          <w:lang w:val="lt-LT"/>
        </w:rPr>
      </w:pPr>
      <w:r>
        <w:rPr>
          <w:rFonts w:eastAsia="Times New Roman" w:cs="Calibri"/>
          <w:color w:val="000000"/>
          <w:lang w:val="lt-LT"/>
        </w:rPr>
        <w:t>2.7.2.1. Gali būti perskaičiuojamos Rangovui mokėtinos sumos tik už statybos darbus, o už kitus, nei statybos darbai, darbus ir paslaugas (darbo projekto parengimas, statybos užbaigimo dokumentacijos parengimo ir statybos užbaigimo procedūros atlikimo) mokėtinos sumos negali būti perskaičiuojamos.</w:t>
      </w:r>
    </w:p>
    <w:p>
      <w:pPr>
        <w:pStyle w:val="Standard"/>
        <w:suppressAutoHyphens w:val="false"/>
        <w:spacing w:lineRule="auto" w:line="240" w:before="0" w:after="0"/>
        <w:ind w:firstLine="567"/>
        <w:jc w:val="both"/>
        <w:rPr>
          <w:lang w:val="lt-LT"/>
        </w:rPr>
      </w:pPr>
      <w:r>
        <w:rPr>
          <w:rFonts w:eastAsia="Times New Roman" w:cs="Calibri"/>
          <w:color w:val="000000"/>
          <w:lang w:val="lt-LT"/>
        </w:rPr>
        <w:t>2.7.2.2. Rangovui mokėtinos sumos už Darbus gali būti perskaičiuojamos, jeigu Valstybės duomenų agentūros (https://vda.lrv.lt/lt) kas mėnesį skelbiamo statybos sąnaudų elementų kainų indekso (toliau – indeksas), labiausiai atitinkančio statomo, rekonstruojamo ar remontuojamo statinio rūšį, reikšmė pakinta daugiau kaip 0,05 (5 proc.).</w:t>
      </w:r>
    </w:p>
    <w:p>
      <w:pPr>
        <w:pStyle w:val="Standard"/>
        <w:suppressAutoHyphens w:val="false"/>
        <w:spacing w:lineRule="auto" w:line="240" w:before="0" w:after="0"/>
        <w:ind w:firstLine="567"/>
        <w:jc w:val="both"/>
        <w:rPr>
          <w:lang w:val="lt-LT"/>
        </w:rPr>
      </w:pPr>
      <w:r>
        <w:rPr>
          <w:rFonts w:eastAsia="Times New Roman" w:cs="Calibri"/>
          <w:color w:val="000000"/>
          <w:lang w:val="lt-LT"/>
        </w:rPr>
        <w:t>2.7.2.3. Sutarties kaina perskaičiuojama dėl indekso pokyčio tik 1 kartą per sutarties vykdymo laikotarpį ir ne anksčiau nei po 6 mėn. nuo Sutarties įsigaliojimo dienos, pagal formulę:</w:t>
      </w:r>
    </w:p>
    <w:p>
      <w:pPr>
        <w:pStyle w:val="Standard"/>
        <w:suppressAutoHyphens w:val="false"/>
        <w:spacing w:lineRule="auto" w:line="240" w:before="0" w:after="0"/>
        <w:ind w:firstLine="567"/>
        <w:jc w:val="both"/>
        <w:rPr>
          <w:rFonts w:eastAsia="Times New Roman" w:cs="Calibri"/>
          <w:color w:val="000000"/>
          <w:lang w:val="lt-LT"/>
        </w:rPr>
      </w:pPr>
      <w:r>
        <w:rPr>
          <w:rFonts w:eastAsia="Times New Roman" w:cs="Calibri"/>
          <w:color w:val="000000"/>
          <w:lang w:val="lt-LT"/>
        </w:rPr>
      </w:r>
    </w:p>
    <w:p>
      <w:pPr>
        <w:pStyle w:val="Standard"/>
        <w:suppressAutoHyphens w:val="false"/>
        <w:spacing w:lineRule="auto" w:line="240" w:before="0" w:after="0"/>
        <w:ind w:firstLine="567"/>
        <w:jc w:val="both"/>
        <w:rPr>
          <w:lang w:val="lt-LT"/>
        </w:rPr>
      </w:pPr>
      <w:r>
        <w:rPr/>
      </w:r>
      <m:oMath xmlns:m="http://schemas.openxmlformats.org/officeDocument/2006/math">
        <m:sSub>
          <m:e>
            <m:r>
              <w:rPr>
                <w:rFonts w:ascii="Cambria Math" w:hAnsi="Cambria Math"/>
              </w:rPr>
              <m:t xml:space="preserve">P</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r>
          <w:rPr>
            <w:rFonts w:ascii="Cambria Math" w:hAnsi="Cambria Math"/>
          </w:rPr>
          <m:t xml:space="preserve">B</m:t>
        </m:r>
        <m:r>
          <w:rPr>
            <w:rFonts w:ascii="Cambria Math" w:hAnsi="Cambria Math"/>
          </w:rPr>
          <m:t xml:space="preserve">+</m:t>
        </m:r>
        <m:sSub>
          <m:e>
            <m:r>
              <w:rPr>
                <w:rFonts w:ascii="Cambria Math" w:hAnsi="Cambria Math"/>
              </w:rPr>
              <m:t xml:space="preserve">a</m:t>
            </m:r>
          </m:e>
          <m:sub>
            <m:r>
              <w:rPr>
                <w:rFonts w:ascii="Cambria Math" w:hAnsi="Cambria Math"/>
              </w:rPr>
              <m:t xml:space="preserve">1</m:t>
            </m:r>
          </m:sub>
        </m:sSub>
      </m:oMath>
      <w:r>
        <w:rPr>
          <w:rFonts w:eastAsia="Times New Roman" w:cs="Calibri"/>
          <w:color w:val="000000"/>
          <w:lang w:val="lt-LT"/>
        </w:rPr>
        <w:t>,</w:t>
      </w:r>
      <w:r>
        <w:rPr>
          <w:rFonts w:eastAsia="Times New Roman" w:cs="Calibri"/>
          <w:i/>
          <w:iCs/>
          <w:color w:val="000000"/>
          <w:sz w:val="20"/>
          <w:szCs w:val="20"/>
          <w:lang w:val="lt-LT"/>
        </w:rPr>
        <w:t xml:space="preserve"> kur</w:t>
      </w:r>
    </w:p>
    <w:p>
      <w:pPr>
        <w:pStyle w:val="Standard"/>
        <w:suppressAutoHyphens w:val="false"/>
        <w:spacing w:lineRule="auto" w:line="240" w:before="0" w:after="0"/>
        <w:ind w:firstLine="567"/>
        <w:jc w:val="both"/>
        <w:rPr>
          <w:rFonts w:eastAsia="Times New Roman" w:cs="Calibri"/>
          <w:color w:val="000000"/>
          <w:sz w:val="20"/>
          <w:szCs w:val="20"/>
          <w:lang w:val="lt-LT"/>
        </w:rPr>
      </w:pPr>
      <w:r>
        <w:rPr>
          <w:rFonts w:eastAsia="Times New Roman" w:cs="Calibri"/>
          <w:color w:val="000000"/>
          <w:sz w:val="20"/>
          <w:szCs w:val="20"/>
          <w:lang w:val="lt-LT"/>
        </w:rPr>
      </w:r>
    </w:p>
    <w:p>
      <w:pPr>
        <w:pStyle w:val="Standard"/>
        <w:suppressAutoHyphens w:val="false"/>
        <w:spacing w:lineRule="auto" w:line="240" w:before="0" w:after="0"/>
        <w:ind w:firstLine="567"/>
        <w:jc w:val="both"/>
        <w:rPr>
          <w:lang w:val="lt-LT"/>
        </w:rPr>
      </w:pPr>
      <w:r>
        <w:rPr>
          <w:rFonts w:eastAsia="Times New Roman" w:cs="Calibri"/>
          <w:i/>
          <w:iCs/>
          <w:color w:val="000000"/>
          <w:sz w:val="20"/>
          <w:szCs w:val="20"/>
          <w:lang w:val="lt-LT"/>
        </w:rPr>
        <w:t>P</w:t>
      </w:r>
      <w:r>
        <w:rPr>
          <w:rFonts w:eastAsia="Times New Roman" w:cs="Calibri"/>
          <w:i/>
          <w:iCs/>
          <w:color w:val="000000"/>
          <w:sz w:val="20"/>
          <w:szCs w:val="20"/>
          <w:vertAlign w:val="subscript"/>
          <w:lang w:val="lt-LT"/>
        </w:rPr>
        <w:t>1</w:t>
      </w:r>
      <w:r>
        <w:rPr>
          <w:rFonts w:eastAsia="Times New Roman" w:cs="Calibri"/>
          <w:i/>
          <w:iCs/>
          <w:color w:val="000000"/>
          <w:sz w:val="20"/>
          <w:szCs w:val="20"/>
          <w:lang w:val="lt-LT"/>
        </w:rPr>
        <w:t xml:space="preserve"> – perskaičiuota dėl indekso pokyčio pradinė Sutarties vertė (Eur be PVM);</w:t>
      </w:r>
    </w:p>
    <w:p>
      <w:pPr>
        <w:pStyle w:val="Standard"/>
        <w:suppressAutoHyphens w:val="false"/>
        <w:spacing w:lineRule="auto" w:line="240" w:before="0" w:after="0"/>
        <w:ind w:firstLine="567"/>
        <w:jc w:val="both"/>
        <w:rPr>
          <w:lang w:val="lt-LT"/>
        </w:rPr>
      </w:pPr>
      <w:r>
        <w:rPr>
          <w:rFonts w:eastAsia="Times New Roman" w:cs="Calibri"/>
          <w:i/>
          <w:iCs/>
          <w:color w:val="000000"/>
          <w:sz w:val="20"/>
          <w:szCs w:val="20"/>
          <w:lang w:val="lt-LT"/>
        </w:rPr>
        <w:t>A – atliktų darbų vertė (Eur be PVM) iki indeksavimo;</w:t>
      </w:r>
    </w:p>
    <w:p>
      <w:pPr>
        <w:pStyle w:val="Standard"/>
        <w:suppressAutoHyphens w:val="false"/>
        <w:spacing w:lineRule="auto" w:line="240" w:before="0" w:after="0"/>
        <w:ind w:firstLine="567"/>
        <w:jc w:val="both"/>
        <w:rPr>
          <w:lang w:val="lt-LT"/>
        </w:rPr>
      </w:pPr>
      <w:r>
        <w:rPr>
          <w:rFonts w:eastAsia="Times New Roman" w:cs="Calibri"/>
          <w:i/>
          <w:iCs/>
          <w:color w:val="000000"/>
          <w:sz w:val="20"/>
          <w:szCs w:val="20"/>
          <w:lang w:val="lt-LT"/>
        </w:rPr>
        <w:t>B – likutinių darbų ir paslaugų vertė (Eur be PVM), kurie neapima statybos darbų pagal Sutarties 2.7.2.1. papunktį);</w:t>
      </w:r>
    </w:p>
    <w:p>
      <w:pPr>
        <w:pStyle w:val="Standard"/>
        <w:suppressAutoHyphens w:val="false"/>
        <w:spacing w:lineRule="auto" w:line="240" w:before="0" w:after="0"/>
        <w:ind w:firstLine="567"/>
        <w:jc w:val="both"/>
        <w:rPr>
          <w:lang w:val="lt-LT"/>
        </w:rPr>
      </w:pPr>
      <w:r>
        <w:rPr>
          <w:rFonts w:eastAsia="Times New Roman" w:cs="Calibri"/>
          <w:i/>
          <w:iCs/>
          <w:color w:val="000000"/>
          <w:sz w:val="20"/>
          <w:szCs w:val="20"/>
          <w:lang w:val="lt-LT"/>
        </w:rPr>
        <w:t>a</w:t>
      </w:r>
      <w:r>
        <w:rPr>
          <w:rFonts w:eastAsia="Times New Roman" w:cs="Calibri"/>
          <w:i/>
          <w:iCs/>
          <w:color w:val="000000"/>
          <w:sz w:val="20"/>
          <w:szCs w:val="20"/>
          <w:vertAlign w:val="subscript"/>
          <w:lang w:val="lt-LT"/>
        </w:rPr>
        <w:t>1</w:t>
      </w:r>
      <w:r>
        <w:rPr>
          <w:rFonts w:eastAsia="Times New Roman" w:cs="Calibri"/>
          <w:i/>
          <w:iCs/>
          <w:color w:val="000000"/>
          <w:sz w:val="20"/>
          <w:szCs w:val="20"/>
          <w:lang w:val="lt-LT"/>
        </w:rPr>
        <w:t xml:space="preserve"> – likutinių statybos darbų vertė po indeksavimo (Eur be PVM), apskaičiuojama pagal formulę:</w:t>
      </w:r>
    </w:p>
    <w:p>
      <w:pPr>
        <w:pStyle w:val="Standard"/>
        <w:suppressAutoHyphens w:val="false"/>
        <w:spacing w:lineRule="auto" w:line="240" w:before="0" w:after="0"/>
        <w:ind w:firstLine="567"/>
        <w:jc w:val="both"/>
        <w:rPr>
          <w:rFonts w:eastAsia="Times New Roman" w:cs="Calibri"/>
          <w:color w:val="000000"/>
          <w:sz w:val="20"/>
          <w:szCs w:val="20"/>
          <w:lang w:val="lt-LT"/>
        </w:rPr>
      </w:pPr>
      <w:r>
        <w:rPr>
          <w:rFonts w:eastAsia="Times New Roman" w:cs="Calibri"/>
          <w:color w:val="000000"/>
          <w:sz w:val="20"/>
          <w:szCs w:val="20"/>
          <w:lang w:val="lt-LT"/>
        </w:rPr>
      </w:r>
    </w:p>
    <w:p>
      <w:pPr>
        <w:pStyle w:val="Standard"/>
        <w:suppressAutoHyphens w:val="false"/>
        <w:spacing w:lineRule="auto" w:line="240" w:before="0" w:after="0"/>
        <w:ind w:firstLine="567"/>
        <w:jc w:val="both"/>
        <w:rPr>
          <w:lang w:val="lt-LT"/>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rFonts w:eastAsia="Times New Roman" w:cs="Calibri"/>
          <w:i/>
          <w:iCs/>
          <w:color w:val="000000"/>
          <w:sz w:val="20"/>
          <w:szCs w:val="20"/>
          <w:lang w:val="lt-LT"/>
        </w:rPr>
        <w:t>, kur</w:t>
      </w:r>
    </w:p>
    <w:p>
      <w:pPr>
        <w:pStyle w:val="Standard"/>
        <w:suppressAutoHyphens w:val="false"/>
        <w:spacing w:lineRule="auto" w:line="240" w:before="0" w:after="0"/>
        <w:ind w:firstLine="567"/>
        <w:jc w:val="both"/>
        <w:rPr>
          <w:lang w:val="lt-LT"/>
        </w:rPr>
      </w:pPr>
      <w:r>
        <w:rPr>
          <w:rFonts w:eastAsia="Times New Roman" w:cs="Calibri"/>
          <w:i/>
          <w:iCs/>
          <w:color w:val="000000"/>
          <w:sz w:val="20"/>
          <w:szCs w:val="20"/>
          <w:lang w:val="lt-LT"/>
        </w:rPr>
        <w:t>a – pradinė likutinių statybos darbų vertė prieš indeksavimą (Eur be PVM)) (jei ji jau buvo perskaičiuota, tai po paskutinio perskaičiavimo);</w:t>
      </w:r>
    </w:p>
    <w:p>
      <w:pPr>
        <w:pStyle w:val="Standard"/>
        <w:suppressAutoHyphens w:val="false"/>
        <w:spacing w:lineRule="auto" w:line="240" w:before="0" w:after="0"/>
        <w:ind w:firstLine="567"/>
        <w:jc w:val="both"/>
        <w:rPr>
          <w:lang w:val="lt-LT"/>
        </w:rPr>
      </w:pPr>
      <w:r>
        <w:rPr>
          <w:rFonts w:eastAsia="Times New Roman" w:cs="Calibri"/>
          <w:i/>
          <w:iCs/>
          <w:color w:val="000000"/>
          <w:sz w:val="20"/>
          <w:szCs w:val="20"/>
          <w:lang w:val="lt-LT"/>
        </w:rPr>
        <w:t>a</w:t>
      </w:r>
      <w:r>
        <w:rPr>
          <w:rFonts w:eastAsia="Times New Roman" w:cs="Calibri"/>
          <w:i/>
          <w:iCs/>
          <w:color w:val="000000"/>
          <w:sz w:val="20"/>
          <w:szCs w:val="20"/>
          <w:vertAlign w:val="subscript"/>
          <w:lang w:val="lt-LT"/>
        </w:rPr>
        <w:t>1</w:t>
      </w:r>
      <w:r>
        <w:rPr>
          <w:rFonts w:eastAsia="Times New Roman" w:cs="Calibri"/>
          <w:i/>
          <w:iCs/>
          <w:color w:val="000000"/>
          <w:sz w:val="20"/>
          <w:szCs w:val="20"/>
          <w:lang w:val="lt-LT"/>
        </w:rPr>
        <w:t xml:space="preserve"> – perskaičiuota (pakeista) likutinių darbų vertė (Eur be PVM);</w:t>
      </w:r>
    </w:p>
    <w:p>
      <w:pPr>
        <w:pStyle w:val="Standard"/>
        <w:suppressAutoHyphens w:val="false"/>
        <w:spacing w:lineRule="auto" w:line="240" w:before="0" w:after="0"/>
        <w:ind w:firstLine="567"/>
        <w:jc w:val="both"/>
        <w:rPr>
          <w:lang w:val="lt-LT"/>
        </w:rPr>
      </w:pPr>
      <w:r>
        <w:rPr>
          <w:rFonts w:eastAsia="Times New Roman" w:cs="Calibri"/>
          <w:i/>
          <w:iCs/>
          <w:color w:val="000000"/>
          <w:sz w:val="20"/>
          <w:szCs w:val="20"/>
          <w:lang w:val="lt-LT"/>
        </w:rPr>
        <w:t>k – pagal vartotojų kainų indeksą nurodytą 2.7.2.1. punkte apskaičiuotas kainų pokytis (padidėjimas arba sumažėjimas) (%). „k“ reikšmė skaičiuojama pagal formulę:</w:t>
      </w:r>
    </w:p>
    <w:p>
      <w:pPr>
        <w:pStyle w:val="Standard"/>
        <w:suppressAutoHyphens w:val="false"/>
        <w:spacing w:lineRule="auto" w:line="240" w:before="0" w:after="0"/>
        <w:ind w:firstLine="567"/>
        <w:jc w:val="both"/>
        <w:rPr>
          <w:rFonts w:eastAsia="Times New Roman" w:cs="Calibri"/>
          <w:color w:val="000000"/>
          <w:lang w:val="lt-LT"/>
        </w:rPr>
      </w:pPr>
      <w:r>
        <w:rPr>
          <w:rFonts w:eastAsia="Times New Roman" w:cs="Calibri"/>
          <w:color w:val="000000"/>
          <w:lang w:val="lt-LT"/>
        </w:rPr>
      </w:r>
    </w:p>
    <w:p>
      <w:pPr>
        <w:pStyle w:val="Standard"/>
        <w:suppressAutoHyphens w:val="false"/>
        <w:spacing w:lineRule="auto" w:line="240" w:before="0" w:after="0"/>
        <w:ind w:firstLine="567"/>
        <w:jc w:val="both"/>
        <w:rPr>
          <w:lang w:val="lt-LT"/>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pradžia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i/>
          <w:iCs/>
          <w:sz w:val="20"/>
          <w:szCs w:val="20"/>
          <w:lang w:val="lt-LT"/>
        </w:rPr>
        <w:t>, kur</w:t>
      </w:r>
    </w:p>
    <w:p>
      <w:pPr>
        <w:pStyle w:val="Standard"/>
        <w:suppressAutoHyphens w:val="false"/>
        <w:spacing w:lineRule="auto" w:line="240" w:before="0" w:after="0"/>
        <w:ind w:firstLine="567"/>
        <w:jc w:val="both"/>
        <w:rPr>
          <w:lang w:val="lt-LT"/>
        </w:rPr>
      </w:pPr>
      <w:r>
        <w:rPr>
          <w:i/>
          <w:iCs/>
          <w:sz w:val="20"/>
          <w:szCs w:val="20"/>
          <w:lang w:val="lt-LT"/>
        </w:rPr>
        <w:t>Ind</w:t>
      </w:r>
      <w:r>
        <w:rPr>
          <w:i/>
          <w:iCs/>
          <w:sz w:val="20"/>
          <w:szCs w:val="20"/>
          <w:vertAlign w:val="subscript"/>
          <w:lang w:val="lt-LT"/>
        </w:rPr>
        <w:t>naujausias</w:t>
      </w:r>
      <w:r>
        <w:rPr>
          <w:i/>
          <w:iCs/>
          <w:sz w:val="20"/>
          <w:szCs w:val="20"/>
          <w:lang w:val="lt-LT"/>
        </w:rPr>
        <w:t xml:space="preserve"> – kreipimosi dėl kainos perskaičiavimo išsiuntimo kitai šaliai datą naujausias paskelbtas vartojimo prekių ir paslaugų indeksas nurodytas Sutarties </w:t>
      </w:r>
      <w:r>
        <w:rPr>
          <w:rFonts w:eastAsia="Times New Roman" w:cs="Calibri"/>
          <w:i/>
          <w:iCs/>
          <w:color w:val="000000"/>
          <w:sz w:val="20"/>
          <w:szCs w:val="20"/>
          <w:lang w:val="lt-LT"/>
        </w:rPr>
        <w:t>2.7.2.1. punkte.</w:t>
      </w:r>
    </w:p>
    <w:p>
      <w:pPr>
        <w:pStyle w:val="Standard"/>
        <w:suppressAutoHyphens w:val="false"/>
        <w:spacing w:lineRule="auto" w:line="240" w:before="0" w:after="0"/>
        <w:ind w:firstLine="567"/>
        <w:jc w:val="both"/>
        <w:rPr>
          <w:lang w:val="lt-LT"/>
        </w:rPr>
      </w:pPr>
      <w:r>
        <w:rPr>
          <w:i/>
          <w:iCs/>
          <w:sz w:val="20"/>
          <w:szCs w:val="20"/>
          <w:lang w:val="lt-LT"/>
        </w:rPr>
        <w:t>Ind</w:t>
      </w:r>
      <w:r>
        <w:rPr>
          <w:i/>
          <w:iCs/>
          <w:sz w:val="20"/>
          <w:szCs w:val="20"/>
          <w:vertAlign w:val="subscript"/>
          <w:lang w:val="lt-LT"/>
        </w:rPr>
        <w:t>pradžia</w:t>
      </w:r>
      <w:r>
        <w:rPr>
          <w:i/>
          <w:iCs/>
          <w:sz w:val="20"/>
          <w:szCs w:val="20"/>
          <w:lang w:val="lt-LT"/>
        </w:rPr>
        <w:t xml:space="preserve"> – laikotarpio pradžios datos (mėnesio) vartojimo prekių ir paslaugų indeksas nurodytas Sutarties </w:t>
      </w:r>
      <w:r>
        <w:rPr>
          <w:rFonts w:eastAsia="Times New Roman" w:cs="Calibri"/>
          <w:i/>
          <w:iCs/>
          <w:color w:val="000000"/>
          <w:sz w:val="20"/>
          <w:szCs w:val="20"/>
          <w:lang w:val="lt-LT"/>
        </w:rPr>
        <w:t>2.7.2.1. punkte. Pirmojo perskaičiavimo atveju laikotarpio pradžia (mėnuo) yra paskutinės pirkimo, kurio pagrindu sudaryta ši Pirkimo sutartis, pasiūlymo pateikimo termino datos mėnuo.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pPr>
        <w:pStyle w:val="Standard"/>
        <w:suppressAutoHyphens w:val="false"/>
        <w:spacing w:lineRule="auto" w:line="240" w:before="0" w:after="0"/>
        <w:ind w:firstLine="567"/>
        <w:jc w:val="both"/>
        <w:rPr>
          <w:lang w:val="lt-LT"/>
        </w:rPr>
      </w:pPr>
      <w:r>
        <w:rPr>
          <w:lang w:val="lt-LT"/>
        </w:rPr>
      </w:r>
    </w:p>
    <w:p>
      <w:pPr>
        <w:pStyle w:val="Standard"/>
        <w:suppressAutoHyphens w:val="false"/>
        <w:spacing w:lineRule="auto" w:line="240" w:before="0" w:after="0"/>
        <w:ind w:firstLine="567"/>
        <w:jc w:val="both"/>
        <w:rPr>
          <w:lang w:val="lt-LT"/>
        </w:rPr>
      </w:pPr>
      <w:r>
        <w:rPr>
          <w:rFonts w:eastAsia="Times New Roman" w:cs="Calibri"/>
          <w:color w:val="000000"/>
          <w:lang w:val="lt-LT"/>
        </w:rPr>
        <w:t xml:space="preserve">2.7.2.4. </w:t>
      </w:r>
      <w:r>
        <w:rPr>
          <w:lang w:val="lt-LT"/>
        </w:rPr>
        <w:t>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 suapvalinamas iki dviejų (perkančioji organizacija įrašo tiek skaitmenų, kiek įkainiams nurodyti naudojama sudarytoje sutartyje) skaitmenų po kablelio.</w:t>
      </w:r>
    </w:p>
    <w:p>
      <w:pPr>
        <w:pStyle w:val="Standard"/>
        <w:suppressAutoHyphens w:val="false"/>
        <w:spacing w:lineRule="auto" w:line="240" w:before="0" w:after="0"/>
        <w:ind w:firstLine="567"/>
        <w:jc w:val="both"/>
        <w:rPr>
          <w:lang w:val="lt-LT"/>
        </w:rPr>
      </w:pPr>
      <w:r>
        <w:rPr>
          <w:rFonts w:eastAsia="Times New Roman" w:cs="Calibri"/>
          <w:lang w:val="lt-LT"/>
        </w:rPr>
        <w:t xml:space="preserve">2.7.2.5. </w:t>
      </w:r>
      <w:r>
        <w:rPr>
          <w:rFonts w:eastAsia="Times New Roman" w:cs="Calibri"/>
          <w:color w:val="000000"/>
          <w:lang w:val="lt-LT"/>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kiekių žiniaraštyje pateiktus įkainius.</w:t>
      </w:r>
    </w:p>
    <w:p>
      <w:pPr>
        <w:pStyle w:val="Standard"/>
        <w:suppressAutoHyphens w:val="false"/>
        <w:spacing w:lineRule="auto" w:line="240" w:before="0" w:after="0"/>
        <w:ind w:firstLine="567"/>
        <w:jc w:val="both"/>
        <w:rPr>
          <w:lang w:val="lt-LT"/>
        </w:rPr>
      </w:pPr>
      <w:r>
        <w:rPr>
          <w:rFonts w:eastAsia="Times New Roman" w:cs="Calibri"/>
          <w:color w:val="000000"/>
          <w:lang w:val="lt-LT"/>
        </w:rPr>
        <w:t>2.7.2.6. Perskaičiavus Pradinę Sutarties vertę, Rangovo civilinės atsakomybės draudimo suma nesikeičia t. y. lieka nurodyta Sutarties 7.1.1. punkte.</w:t>
      </w:r>
    </w:p>
    <w:p>
      <w:pPr>
        <w:pStyle w:val="Standard"/>
        <w:suppressAutoHyphens w:val="false"/>
        <w:spacing w:lineRule="auto" w:line="240" w:before="0" w:after="0"/>
        <w:ind w:firstLine="567"/>
        <w:jc w:val="both"/>
        <w:rPr>
          <w:lang w:val="lt-LT"/>
        </w:rPr>
      </w:pPr>
      <w:r>
        <w:rPr>
          <w:rFonts w:eastAsia="Times New Roman" w:cs="Calibri"/>
          <w:color w:val="000000"/>
          <w:lang w:val="lt-LT"/>
        </w:rPr>
        <w:t>2.7.2.7. Vėlesnis kainų arba įkainių perskaičiavimas negali apimti laikotarpio, už kurį jau buvo atliktas perskaičiavimas.</w:t>
      </w:r>
    </w:p>
    <w:p>
      <w:pPr>
        <w:pStyle w:val="Standard"/>
        <w:suppressAutoHyphens w:val="false"/>
        <w:spacing w:lineRule="auto" w:line="240" w:before="0" w:after="0"/>
        <w:jc w:val="both"/>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lang w:val="lt-LT"/>
        </w:rPr>
        <w:t>III. ATSISKAITYMO TVARKA</w:t>
      </w:r>
    </w:p>
    <w:p>
      <w:pPr>
        <w:pStyle w:val="Standard"/>
        <w:suppressAutoHyphens w:val="false"/>
        <w:spacing w:lineRule="auto" w:line="240" w:before="0" w:after="0"/>
        <w:ind w:left="720"/>
        <w:jc w:val="both"/>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lang w:val="lt-LT"/>
        </w:rPr>
        <w:t>3.1.Tarpiniam mokėjimui gauti, Rangovas privalo pateikti Užsakovui atliktų Darbų perdavimo–priėmimo aktą, pagrįstą užpildytais sąnaudų kiekių žiniaraščiais. Užsakovas, gavęs šiame punkte nurodytus dokumentus, per 7 darbo dienas privalo patvirtinti pasirašydamas atliktų Darbų aktą išskyrus atvejus, jeigu:</w:t>
      </w:r>
    </w:p>
    <w:p>
      <w:pPr>
        <w:pStyle w:val="Standard"/>
        <w:suppressAutoHyphens w:val="false"/>
        <w:spacing w:lineRule="auto" w:line="240" w:before="0" w:after="0"/>
        <w:ind w:firstLine="567"/>
        <w:jc w:val="both"/>
        <w:rPr>
          <w:lang w:val="lt-LT"/>
        </w:rPr>
      </w:pPr>
      <w:r>
        <w:rPr>
          <w:rFonts w:eastAsia="Times New Roman" w:cs="Calibri"/>
          <w:lang w:val="lt-LT"/>
        </w:rPr>
        <w:t>3.1.1.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pPr>
        <w:pStyle w:val="Standard"/>
        <w:suppressAutoHyphens w:val="false"/>
        <w:spacing w:lineRule="auto" w:line="240" w:before="0" w:after="0"/>
        <w:ind w:firstLine="567"/>
        <w:jc w:val="both"/>
        <w:rPr>
          <w:lang w:val="lt-LT"/>
        </w:rPr>
      </w:pPr>
      <w:r>
        <w:rPr>
          <w:rFonts w:eastAsia="Times New Roman" w:cs="Calibri"/>
          <w:lang w:val="lt-LT"/>
        </w:rPr>
        <w:t>3.1.2.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pPr>
        <w:pStyle w:val="Standard"/>
        <w:suppressAutoHyphens w:val="false"/>
        <w:spacing w:lineRule="auto" w:line="240" w:before="0" w:after="0"/>
        <w:ind w:firstLine="567"/>
        <w:jc w:val="both"/>
        <w:rPr>
          <w:lang w:val="lt-LT"/>
        </w:rPr>
      </w:pPr>
      <w:r>
        <w:rPr>
          <w:rFonts w:eastAsia="Times New Roman" w:cs="Calibri"/>
          <w:lang w:val="lt-LT"/>
        </w:rPr>
        <w:t>3.2. Galutinį mokėjimą Rangovas gali gauti tik tada, kai Rangovas ištaiso visus defektus (jeigu tokių yra), Šalys pasirašo galutinį atliktų darbų perdavimo–priėmimo aktą (Sutarties 8.1. punktas), Rangovas užbaigia</w:t>
      </w:r>
      <w:r>
        <w:rPr>
          <w:rFonts w:eastAsia="Times New Roman" w:cs="Calibri"/>
          <w:color w:val="000000"/>
          <w:lang w:val="lt-LT"/>
        </w:rPr>
        <w:t xml:space="preserve"> statybos užbaigimo procedūrą, pateikdamas dokumentą patvirtinantį statybos užbaigimą.</w:t>
      </w:r>
    </w:p>
    <w:p>
      <w:pPr>
        <w:pStyle w:val="Standard"/>
        <w:suppressAutoHyphens w:val="false"/>
        <w:spacing w:lineRule="auto" w:line="240" w:before="0" w:after="0"/>
        <w:ind w:firstLine="567"/>
        <w:jc w:val="both"/>
        <w:rPr>
          <w:lang w:val="lt-LT"/>
        </w:rPr>
      </w:pPr>
      <w:r>
        <w:rPr>
          <w:rFonts w:eastAsia="Times New Roman" w:cs="Calibri"/>
          <w:lang w:val="lt-LT"/>
        </w:rPr>
        <w:t xml:space="preserve">3.3. Už faktiškai ir kokybiškai atliktus darbus Užsakovas atsiskaitys pavedimu pagal Rangovo pateiktus dokumentus (atliktų darbų priėmimo–perdavimo aktą, suderintą su Užsakovu ir statinio statybos techninės priežiūros vadovu), ir sąskaitą faktūrą </w:t>
      </w:r>
      <w:r>
        <w:rPr>
          <w:rFonts w:eastAsia="Times New Roman" w:cs="Calibri"/>
          <w:color w:val="000000"/>
          <w:lang w:val="lt-LT"/>
        </w:rPr>
        <w:t>per 30 (trisdešimt) kalendorinių dienų</w:t>
      </w:r>
      <w:r>
        <w:rPr>
          <w:rFonts w:eastAsia="Times New Roman" w:cs="Calibri"/>
          <w:lang w:val="lt-LT"/>
        </w:rPr>
        <w:t xml:space="preserve"> nuo sąskaitų faktūrų pateikimo dienos Užsakovui. Atsiskaitymo dokumentai pateikiami tik informacinės sistemos SABIS priemonėmis.</w:t>
      </w:r>
    </w:p>
    <w:p>
      <w:pPr>
        <w:pStyle w:val="Standard"/>
        <w:suppressAutoHyphens w:val="false"/>
        <w:spacing w:lineRule="auto" w:line="240" w:before="0" w:after="0"/>
        <w:ind w:firstLine="567"/>
        <w:jc w:val="both"/>
        <w:rPr>
          <w:lang w:val="lt-LT"/>
        </w:rPr>
      </w:pPr>
      <w:r>
        <w:rPr>
          <w:rFonts w:eastAsia="Times New Roman" w:cs="Calibri"/>
          <w:lang w:val="lt-LT"/>
        </w:rPr>
        <w:t>3.4. Užsakovas turi teisę sulaikyti mokėjimus už Rangovo atliktus Darbus, jeigu Rangovas nepašalina Užsakovo nurodytų Rangovo atliktų Darbų trūkumų.</w:t>
      </w:r>
    </w:p>
    <w:p>
      <w:pPr>
        <w:pStyle w:val="Standard"/>
        <w:suppressAutoHyphens w:val="false"/>
        <w:spacing w:lineRule="auto" w:line="240" w:before="0" w:after="0"/>
        <w:ind w:firstLine="567"/>
        <w:jc w:val="both"/>
        <w:rPr>
          <w:lang w:val="lt-LT"/>
        </w:rPr>
      </w:pPr>
      <w:r>
        <w:rPr>
          <w:rFonts w:eastAsia="Times New Roman" w:cs="Calibri"/>
          <w:lang w:val="lt-LT"/>
        </w:rPr>
        <w:t>3.5.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pPr>
        <w:pStyle w:val="Standard"/>
        <w:suppressAutoHyphens w:val="false"/>
        <w:spacing w:lineRule="auto" w:line="240" w:before="0" w:after="0"/>
        <w:ind w:firstLine="567"/>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lang w:val="lt-LT"/>
        </w:rPr>
        <w:t>IV. DARBŲ ATLIKIMO TERMINAI</w:t>
      </w:r>
    </w:p>
    <w:p>
      <w:pPr>
        <w:pStyle w:val="Standard"/>
        <w:suppressAutoHyphens w:val="false"/>
        <w:spacing w:lineRule="auto" w:line="240" w:before="0" w:after="0"/>
        <w:ind w:firstLine="539"/>
        <w:jc w:val="both"/>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bCs/>
          <w:lang w:val="lt-LT"/>
        </w:rPr>
        <w:t>4.1.</w:t>
      </w:r>
      <w:r>
        <w:rPr>
          <w:rFonts w:eastAsia="Times New Roman" w:cs="Calibri"/>
          <w:b/>
          <w:bCs/>
          <w:lang w:val="lt-LT"/>
        </w:rPr>
        <w:t xml:space="preserve"> </w:t>
      </w:r>
      <w:r>
        <w:rPr>
          <w:rFonts w:eastAsia="Times New Roman" w:cs="Calibri"/>
          <w:lang w:val="lt-LT"/>
        </w:rPr>
        <w:t xml:space="preserve">Statybos darbų pradžia laikoma diena, kai bus įgyvendintos visos žemiau išvardintos sąlygos, bet ne vėliau  </w:t>
      </w:r>
      <w:r>
        <w:rPr>
          <w:rFonts w:eastAsia="Times New Roman" w:cs="Calibri"/>
          <w:color w:val="000000"/>
          <w:lang w:val="lt-LT"/>
        </w:rPr>
        <w:t>nei 4 mėn. nuo sutarties įsigaliojimo dienos</w:t>
      </w:r>
      <w:r>
        <w:rPr>
          <w:rFonts w:eastAsia="Times New Roman" w:cs="Calibri"/>
          <w:lang w:val="lt-LT"/>
        </w:rPr>
        <w:t>:</w:t>
      </w:r>
    </w:p>
    <w:p>
      <w:pPr>
        <w:pStyle w:val="Standard"/>
        <w:suppressAutoHyphens w:val="false"/>
        <w:spacing w:lineRule="auto" w:line="240" w:before="0" w:after="0"/>
        <w:ind w:firstLine="567"/>
        <w:jc w:val="both"/>
        <w:rPr>
          <w:lang w:val="lt-LT"/>
        </w:rPr>
      </w:pPr>
      <w:r>
        <w:rPr>
          <w:rFonts w:eastAsia="Times New Roman" w:cs="Calibri"/>
          <w:color w:val="000000"/>
          <w:lang w:val="lt-LT"/>
        </w:rPr>
        <w:t>4.1.1. Pasirašyta sutartis;</w:t>
      </w:r>
    </w:p>
    <w:p>
      <w:pPr>
        <w:pStyle w:val="Standard"/>
        <w:suppressAutoHyphens w:val="false"/>
        <w:spacing w:lineRule="auto" w:line="240" w:before="0" w:after="0"/>
        <w:ind w:firstLine="567"/>
        <w:jc w:val="both"/>
        <w:rPr>
          <w:lang w:val="lt-LT"/>
        </w:rPr>
      </w:pPr>
      <w:r>
        <w:rPr>
          <w:rFonts w:eastAsia="Times New Roman" w:cs="Calibri"/>
          <w:color w:val="000000"/>
          <w:lang w:val="lt-LT"/>
        </w:rPr>
        <w:t>4.1.2. Pateiktas rangovo civilinės atsakomybės draudimas;</w:t>
      </w:r>
    </w:p>
    <w:p>
      <w:pPr>
        <w:pStyle w:val="Standard"/>
        <w:suppressAutoHyphens w:val="false"/>
        <w:spacing w:lineRule="auto" w:line="240" w:before="0" w:after="0"/>
        <w:ind w:firstLine="567"/>
        <w:jc w:val="both"/>
        <w:rPr>
          <w:lang w:val="lt-LT"/>
        </w:rPr>
      </w:pPr>
      <w:r>
        <w:rPr>
          <w:rFonts w:eastAsia="Times New Roman" w:cs="Calibri"/>
          <w:color w:val="000000"/>
          <w:lang w:val="lt-LT"/>
        </w:rPr>
        <w:t>4.1.3. Parengtas darbo projektas (su konstrukcinės dalies ekspertize);</w:t>
      </w:r>
    </w:p>
    <w:p>
      <w:pPr>
        <w:pStyle w:val="Standard"/>
        <w:suppressAutoHyphens w:val="false"/>
        <w:spacing w:lineRule="auto" w:line="240" w:before="0" w:after="0"/>
        <w:ind w:firstLine="567"/>
        <w:jc w:val="both"/>
        <w:rPr>
          <w:lang w:val="lt-LT"/>
        </w:rPr>
      </w:pPr>
      <w:r>
        <w:rPr>
          <w:rFonts w:eastAsia="Times New Roman" w:cs="Calibri"/>
          <w:color w:val="000000"/>
          <w:lang w:val="lt-LT"/>
        </w:rPr>
        <w:t>4.1.4. Pateiktas pranešimas apie statybos darbų pradžią ir gautas patvirtinimą apie šių dokumentų užregistravimą;</w:t>
      </w:r>
    </w:p>
    <w:p>
      <w:pPr>
        <w:pStyle w:val="Standard"/>
        <w:suppressAutoHyphens w:val="false"/>
        <w:spacing w:lineRule="auto" w:line="240" w:before="0" w:after="0"/>
        <w:ind w:firstLine="567"/>
        <w:jc w:val="both"/>
        <w:rPr>
          <w:lang w:val="lt-LT"/>
        </w:rPr>
      </w:pPr>
      <w:r>
        <w:rPr>
          <w:rFonts w:eastAsia="Times New Roman" w:cs="Calibri"/>
          <w:color w:val="000000"/>
          <w:lang w:val="lt-LT"/>
        </w:rPr>
        <w:t>4.1.4. Pasirašytas statybvietės priėjimo-perdavimo aktas.</w:t>
      </w:r>
    </w:p>
    <w:p>
      <w:pPr>
        <w:pStyle w:val="Standard"/>
        <w:widowControl/>
        <w:suppressAutoHyphens w:val="false"/>
        <w:bidi w:val="0"/>
        <w:spacing w:lineRule="auto" w:line="240" w:before="0" w:after="0"/>
        <w:ind w:firstLine="113" w:left="454" w:right="0"/>
        <w:jc w:val="both"/>
        <w:textAlignment w:val="baseline"/>
        <w:rPr>
          <w:highlight w:val="none"/>
          <w:shd w:fill="auto" w:val="clear"/>
        </w:rPr>
      </w:pPr>
      <w:r>
        <w:rPr>
          <w:rFonts w:eastAsia="Times New Roman" w:cs="Calibri"/>
          <w:color w:val="000000"/>
          <w:shd w:fill="auto" w:val="clear"/>
          <w:lang w:val="en-US"/>
        </w:rPr>
        <w:t>4.1.5. Pateikta s</w:t>
      </w:r>
      <w:r>
        <w:rPr>
          <w:rFonts w:eastAsia="Times New Roman" w:cs="Calibri"/>
          <w:color w:val="000000"/>
          <w:shd w:fill="auto" w:val="clear"/>
        </w:rPr>
        <w:t>utart</w:t>
      </w:r>
      <w:r>
        <w:rPr>
          <w:rFonts w:eastAsia="Times New Roman" w:cs="Calibri"/>
          <w:color w:val="000000"/>
          <w:shd w:fill="auto" w:val="clear"/>
          <w:lang w:val="en-US"/>
        </w:rPr>
        <w:t>ies</w:t>
      </w:r>
      <w:r>
        <w:rPr>
          <w:rFonts w:eastAsia="Times New Roman" w:cs="Calibri"/>
          <w:color w:val="000000"/>
          <w:shd w:fill="auto" w:val="clear"/>
        </w:rPr>
        <w:t xml:space="preserve"> su statybines atliekas utilizuojančia įmone, kuri turi atitinkamą sertifikatą, </w:t>
      </w:r>
      <w:r>
        <w:rPr>
          <w:rFonts w:eastAsia="Times New Roman" w:cs="Calibri"/>
          <w:color w:val="000000"/>
          <w:shd w:fill="auto" w:val="clear"/>
          <w:lang w:val="en-US"/>
        </w:rPr>
        <w:t>kopija.</w:t>
      </w:r>
    </w:p>
    <w:p>
      <w:pPr>
        <w:pStyle w:val="Standard"/>
        <w:suppressAutoHyphens w:val="false"/>
        <w:spacing w:lineRule="auto" w:line="240" w:before="0" w:after="0"/>
        <w:ind w:firstLine="567"/>
        <w:jc w:val="both"/>
        <w:rPr>
          <w:lang w:val="lt-LT"/>
        </w:rPr>
      </w:pPr>
      <w:r>
        <w:rPr>
          <w:rFonts w:eastAsia="Times New Roman" w:cs="Calibri"/>
          <w:color w:val="000000"/>
          <w:lang w:val="lt-LT"/>
        </w:rPr>
        <w:t xml:space="preserve">4.2. </w:t>
      </w:r>
      <w:r>
        <w:rPr>
          <w:rFonts w:eastAsia="Times New Roman" w:cs="Calibri"/>
          <w:b/>
          <w:bCs/>
          <w:color w:val="000000"/>
          <w:lang w:val="lt-LT"/>
        </w:rPr>
        <w:t>Statybos darbai</w:t>
      </w:r>
      <w:r>
        <w:rPr>
          <w:rFonts w:eastAsia="Times New Roman" w:cs="Calibri"/>
          <w:color w:val="000000"/>
          <w:lang w:val="lt-LT"/>
        </w:rPr>
        <w:t xml:space="preserve"> turi būti baigti ne vėliau nei 30 kalendorinių dienų iki Darbų atlikimo termino pabaigos.</w:t>
      </w:r>
    </w:p>
    <w:p>
      <w:pPr>
        <w:pStyle w:val="Standard"/>
        <w:suppressAutoHyphens w:val="false"/>
        <w:spacing w:lineRule="auto" w:line="240" w:before="0" w:after="0"/>
        <w:ind w:firstLine="113" w:left="454"/>
        <w:jc w:val="both"/>
        <w:rPr>
          <w:lang w:val="lt-LT"/>
        </w:rPr>
      </w:pPr>
      <w:r>
        <w:rPr>
          <w:rFonts w:eastAsia="Times New Roman" w:cs="Calibri"/>
          <w:b/>
          <w:bCs/>
          <w:lang w:val="lt-LT"/>
        </w:rPr>
        <w:t>4.3. Galutinis visų Darbų atlikimo terminas – 15 mėn. nuo Sutarties įsigaliojimo d</w:t>
      </w:r>
      <w:r>
        <w:rPr>
          <w:rFonts w:eastAsia="Times New Roman" w:cs="Calibri"/>
          <w:b/>
          <w:bCs/>
          <w:color w:val="000000"/>
          <w:lang w:val="lt-LT"/>
        </w:rPr>
        <w:t>ienos.</w:t>
      </w:r>
    </w:p>
    <w:p>
      <w:pPr>
        <w:pStyle w:val="Standard"/>
        <w:suppressAutoHyphens w:val="false"/>
        <w:spacing w:lineRule="auto" w:line="240" w:before="0" w:after="0"/>
        <w:ind w:firstLine="567"/>
        <w:jc w:val="both"/>
        <w:rPr>
          <w:lang w:val="lt-LT"/>
        </w:rPr>
      </w:pPr>
      <w:r>
        <w:rPr>
          <w:rFonts w:eastAsia="Times New Roman" w:cs="Calibri"/>
          <w:lang w:val="lt-LT"/>
        </w:rPr>
        <w:t xml:space="preserve">4.4. Darbų atlikimo terminas </w:t>
      </w:r>
      <w:r>
        <w:rPr>
          <w:rFonts w:eastAsia="Times New Roman" w:cs="Calibri"/>
          <w:color w:val="000000"/>
          <w:lang w:val="lt-LT"/>
        </w:rPr>
        <w:t>gali būti pratęstas ne ilgiau kaip 2 mėn. laikotarpiui. Darbų atlikimo terminas gali būti pratęstas tik dėl aplinkybių, kurios nepriklauso nuo Rangovo, taip pat dėl:</w:t>
      </w:r>
    </w:p>
    <w:p>
      <w:pPr>
        <w:pStyle w:val="Standard"/>
        <w:suppressAutoHyphens w:val="false"/>
        <w:spacing w:lineRule="auto" w:line="240" w:before="0" w:after="0"/>
        <w:ind w:firstLine="567"/>
        <w:jc w:val="both"/>
        <w:rPr>
          <w:lang w:val="lt-LT"/>
        </w:rPr>
      </w:pPr>
      <w:r>
        <w:rPr>
          <w:rFonts w:eastAsia="Times New Roman" w:cs="Calibri"/>
          <w:color w:val="000000"/>
          <w:lang w:val="lt-LT"/>
        </w:rPr>
        <w:t>4.4.1. išskirtinai nepalankių gamtinių sąlygų (taikoma Darbams, kurių koky</w:t>
      </w:r>
      <w:r>
        <w:rPr>
          <w:rFonts w:eastAsia="Times New Roman" w:cs="Calibri"/>
          <w:lang w:val="lt-LT"/>
        </w:rPr>
        <w:t>bė priklauso nuo gamtinių sąlygų), kurios buvo nenumatomos arba kurių joks patyręs rangovas nebūtų galėjęs tikėtis ir tai įvertinti;</w:t>
      </w:r>
    </w:p>
    <w:p>
      <w:pPr>
        <w:pStyle w:val="Standard"/>
        <w:suppressAutoHyphens w:val="false"/>
        <w:spacing w:lineRule="auto" w:line="240" w:before="0" w:after="0"/>
        <w:ind w:firstLine="567"/>
        <w:jc w:val="both"/>
        <w:rPr>
          <w:lang w:val="lt-LT"/>
        </w:rPr>
      </w:pPr>
      <w:r>
        <w:rPr>
          <w:rFonts w:eastAsia="Times New Roman" w:cs="Calibri"/>
          <w:lang w:val="lt-LT"/>
        </w:rPr>
        <w:t>4.4.2. pakeitimų, atliekamų vadovaujantis Sutarties sąlygų XII skyriaus nuostatomis;</w:t>
      </w:r>
    </w:p>
    <w:p>
      <w:pPr>
        <w:pStyle w:val="Standard"/>
        <w:suppressAutoHyphens w:val="false"/>
        <w:spacing w:lineRule="auto" w:line="240" w:before="0" w:after="0"/>
        <w:ind w:firstLine="567"/>
        <w:jc w:val="both"/>
        <w:rPr>
          <w:lang w:val="lt-LT"/>
        </w:rPr>
      </w:pPr>
      <w:r>
        <w:rPr>
          <w:rFonts w:eastAsia="Times New Roman" w:cs="Calibri"/>
          <w:lang w:val="lt-LT"/>
        </w:rPr>
        <w:t xml:space="preserve">4.4.3. bet kokio vėlavimo, kliūčių ar trukdymų, sukeltų arba priskiriamų Užsakovui arba Užsakovo personalui, arba tretiesiems asmenims (išskyrus tuos atvejus, kai </w:t>
      </w:r>
      <w:r>
        <w:rPr>
          <w:rFonts w:eastAsia="Times New Roman" w:cs="Calibri"/>
          <w:color w:val="000000"/>
          <w:lang w:val="lt-LT"/>
        </w:rPr>
        <w:t>nuo trečiųjų šalių priklausančius terminus buvo galima numatyti iš anksto).</w:t>
      </w:r>
    </w:p>
    <w:p>
      <w:pPr>
        <w:pStyle w:val="Standard"/>
        <w:suppressAutoHyphens w:val="false"/>
        <w:spacing w:lineRule="auto" w:line="240" w:before="0" w:after="0"/>
        <w:ind w:firstLine="567"/>
        <w:jc w:val="both"/>
        <w:rPr>
          <w:lang w:val="lt-LT"/>
        </w:rPr>
      </w:pPr>
      <w:r>
        <w:rPr>
          <w:rFonts w:eastAsia="Times New Roman" w:cs="Calibri"/>
          <w:lang w:val="lt-LT"/>
        </w:rPr>
        <w:t>4.5. susidarius situacijai, dėl kurios būtų paskelbiama ekstremalioji situacija valstybės lygiu ir įvedamas karantinas, darbų atlikimo terminas pratęsiamas karantino laikotarpiui, bet ne ilgesniam nei 6 mėn. laikotarpiui.</w:t>
      </w:r>
    </w:p>
    <w:p>
      <w:pPr>
        <w:pStyle w:val="Standard"/>
        <w:suppressAutoHyphens w:val="false"/>
        <w:spacing w:lineRule="auto" w:line="240" w:before="0" w:after="0"/>
        <w:ind w:firstLine="567"/>
        <w:jc w:val="both"/>
        <w:rPr>
          <w:lang w:val="lt-LT"/>
        </w:rPr>
      </w:pPr>
      <w:r>
        <w:rPr>
          <w:rFonts w:eastAsia="Times New Roman" w:cs="Calibri"/>
          <w:lang w:val="lt-LT"/>
        </w:rPr>
        <w:t>4.6. Darbų pabaiga pagal Sutartį bus laikomas momentas, kai bus užbaigti visi Sutartyje numatyti Darbai ir priimti pagal šios Sutarties 8 skyrių bei pateikiama visa su projekto įgyvendinimu susijusi dokumentacija ir statybos užbaigimą patvirtinantys dokumentai.</w:t>
      </w:r>
    </w:p>
    <w:p>
      <w:pPr>
        <w:pStyle w:val="Standard"/>
        <w:suppressAutoHyphens w:val="false"/>
        <w:spacing w:lineRule="auto" w:line="240" w:before="0" w:after="0"/>
        <w:jc w:val="both"/>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color w:val="000000"/>
          <w:lang w:val="lt-LT"/>
        </w:rPr>
        <w:t>V. ŠALIŲ ĮSIPAREIGOJIMAI</w:t>
      </w:r>
    </w:p>
    <w:p>
      <w:pPr>
        <w:pStyle w:val="Standard"/>
        <w:suppressAutoHyphens w:val="false"/>
        <w:spacing w:lineRule="auto" w:line="240" w:before="0" w:after="0"/>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color w:val="000000"/>
          <w:lang w:val="lt-LT"/>
        </w:rPr>
        <w:t>5.1. Užsakovas įsipareigoja:</w:t>
      </w:r>
    </w:p>
    <w:p>
      <w:pPr>
        <w:pStyle w:val="Standard"/>
        <w:suppressAutoHyphens w:val="false"/>
        <w:spacing w:lineRule="auto" w:line="240" w:before="0" w:after="0"/>
        <w:ind w:firstLine="567"/>
        <w:jc w:val="both"/>
        <w:rPr>
          <w:lang w:val="lt-LT"/>
        </w:rPr>
      </w:pPr>
      <w:r>
        <w:rPr>
          <w:rFonts w:eastAsia="Times New Roman" w:cs="Calibri"/>
          <w:color w:val="000000"/>
          <w:lang w:val="lt-LT"/>
        </w:rPr>
        <w:t>5.1.1. nustatyti Darbų apimtį ir atlikimo sąlygas;</w:t>
      </w:r>
    </w:p>
    <w:p>
      <w:pPr>
        <w:pStyle w:val="Standard"/>
        <w:suppressAutoHyphens w:val="false"/>
        <w:spacing w:lineRule="auto" w:line="240" w:before="0" w:after="0"/>
        <w:ind w:firstLine="567"/>
        <w:jc w:val="both"/>
        <w:rPr>
          <w:lang w:val="lt-LT"/>
        </w:rPr>
      </w:pPr>
      <w:r>
        <w:rPr>
          <w:rFonts w:eastAsia="Times New Roman" w:cs="Calibri"/>
          <w:color w:val="000000"/>
          <w:lang w:val="lt-LT"/>
        </w:rPr>
        <w:t>5.1.2. pranešti kas vykdys projekto vykdymo priežiūrą ir statybos techninę priežiūrą;</w:t>
      </w:r>
    </w:p>
    <w:p>
      <w:pPr>
        <w:pStyle w:val="Standard"/>
        <w:suppressAutoHyphens w:val="false"/>
        <w:spacing w:lineRule="auto" w:line="240" w:before="0" w:after="0"/>
        <w:ind w:firstLine="567"/>
        <w:jc w:val="both"/>
        <w:rPr>
          <w:lang w:val="lt-LT"/>
        </w:rPr>
      </w:pPr>
      <w:r>
        <w:rPr>
          <w:rFonts w:eastAsia="Times New Roman" w:cs="Calibri"/>
          <w:color w:val="000000"/>
          <w:lang w:val="lt-LT"/>
        </w:rPr>
        <w:t>5.1.3. priimti iš Rangovo kokybiškai atliktus Darbus ir už juos atsiskaityti;</w:t>
      </w:r>
    </w:p>
    <w:p>
      <w:pPr>
        <w:pStyle w:val="Standard"/>
        <w:suppressAutoHyphens w:val="false"/>
        <w:spacing w:lineRule="auto" w:line="240" w:before="0" w:after="0"/>
        <w:ind w:firstLine="567"/>
        <w:jc w:val="both"/>
        <w:rPr>
          <w:lang w:val="lt-LT"/>
        </w:rPr>
      </w:pPr>
      <w:r>
        <w:rPr>
          <w:rFonts w:eastAsia="Times New Roman" w:cs="Calibri"/>
          <w:color w:val="000000"/>
          <w:lang w:val="lt-LT"/>
        </w:rPr>
        <w:t>5.1.4. pareikalauti šalinti trūkumus, nemokėti už nekokybiškai atliktą darbą arba sustabdyti Darbus, jeigu Rangovas nesilaiko statybos normų ir taisyklių.</w:t>
      </w:r>
    </w:p>
    <w:p>
      <w:pPr>
        <w:pStyle w:val="Standard"/>
        <w:suppressAutoHyphens w:val="false"/>
        <w:spacing w:lineRule="auto" w:line="240" w:before="0" w:after="0"/>
        <w:ind w:firstLine="567"/>
        <w:jc w:val="both"/>
        <w:rPr>
          <w:lang w:val="lt-LT"/>
        </w:rPr>
      </w:pPr>
      <w:r>
        <w:rPr>
          <w:rFonts w:eastAsia="Times New Roman" w:cs="Calibri"/>
          <w:color w:val="000000"/>
          <w:lang w:val="lt-LT"/>
        </w:rPr>
        <w:t>5.2. Rangovas įsipareigoja:</w:t>
      </w:r>
    </w:p>
    <w:p>
      <w:pPr>
        <w:pStyle w:val="Standard"/>
        <w:suppressAutoHyphens w:val="false"/>
        <w:spacing w:lineRule="auto" w:line="240" w:before="0" w:after="0"/>
        <w:ind w:firstLine="567"/>
        <w:jc w:val="both"/>
        <w:rPr>
          <w:lang w:val="lt-LT"/>
        </w:rPr>
      </w:pPr>
      <w:r>
        <w:rPr>
          <w:rFonts w:eastAsia="Times New Roman" w:cs="Calibri"/>
          <w:color w:val="000000"/>
          <w:lang w:val="lt-LT"/>
        </w:rPr>
        <w:t>5.2.1.</w:t>
      </w:r>
      <w:r>
        <w:rPr>
          <w:rFonts w:eastAsia="Times New Roman" w:cs="Calibri"/>
          <w:color w:val="FF4000"/>
          <w:lang w:val="lt-LT"/>
        </w:rPr>
        <w:t xml:space="preserve"> </w:t>
      </w:r>
      <w:r>
        <w:rPr>
          <w:rFonts w:eastAsia="Times New Roman" w:cs="Calibri"/>
          <w:color w:val="000000"/>
          <w:lang w:val="lt-LT"/>
        </w:rPr>
        <w:t>apie reikalingus, Sutartyje nenurodytus dokumentus, įspėti Užsakovą, raštu nurodant konkrečiai kokie dokumentai reikalingi ir kokia forma jie turėtų būti pateikti, nurodant ne trumpesnį nei 10 darbo dienų terminą jų pateikimui;</w:t>
      </w:r>
    </w:p>
    <w:p>
      <w:pPr>
        <w:pStyle w:val="Standard"/>
        <w:suppressAutoHyphens w:val="false"/>
        <w:spacing w:lineRule="auto" w:line="240" w:before="0" w:after="0"/>
        <w:ind w:firstLine="567"/>
        <w:jc w:val="both"/>
        <w:rPr>
          <w:lang w:val="lt-LT"/>
        </w:rPr>
      </w:pPr>
      <w:r>
        <w:rPr>
          <w:rFonts w:eastAsia="Times New Roman" w:cs="Calibri"/>
          <w:color w:val="000000"/>
          <w:lang w:val="lt-LT"/>
        </w:rPr>
        <w:t>5.2.2. bendradarbiauti su Užsakovu, neatlygintinai konsultuoti Užsakovą su Sutarties vykdymu susijusiais klausimais, operatyviai bei neatlygintinai pašalinti visus pastebėtus Darbų trūkumus ir netikslumus bei išspręsti visus su tuo susijusius klausimus;</w:t>
      </w:r>
    </w:p>
    <w:p>
      <w:pPr>
        <w:pStyle w:val="Standard"/>
        <w:suppressAutoHyphens w:val="false"/>
        <w:spacing w:lineRule="auto" w:line="240" w:before="0" w:after="0"/>
        <w:ind w:firstLine="567"/>
        <w:jc w:val="both"/>
        <w:rPr>
          <w:lang w:val="lt-LT"/>
        </w:rPr>
      </w:pPr>
      <w:r>
        <w:rPr>
          <w:rFonts w:eastAsia="Times New Roman" w:cs="Calibri"/>
          <w:color w:val="000000"/>
          <w:lang w:val="lt-LT"/>
        </w:rPr>
        <w:t>5.2.3. laiku pradėti, atlikti, užbaigti ir perduoti Užsakovui visus Sutartyje nurodytus Darbus ir ištaisyti Darbų defektus, atsiradusius per garantinį laikotarpį. Jeigu Rangovas defektų nepašalina per nurodytą laikotarpį, ir Darbų defektus šalina Užsakovas, tai Rangovas apmoka defektų šalinimo išlaidas (per 30 kalendorinių dienų nuo pažymos apie patirtas išlaidas pateikimo dienos);</w:t>
      </w:r>
    </w:p>
    <w:p>
      <w:pPr>
        <w:pStyle w:val="Standard"/>
        <w:suppressAutoHyphens w:val="false"/>
        <w:spacing w:lineRule="auto" w:line="240" w:before="0" w:after="0"/>
        <w:ind w:firstLine="567"/>
        <w:jc w:val="both"/>
        <w:rPr>
          <w:lang w:val="lt-LT"/>
        </w:rPr>
      </w:pPr>
      <w:r>
        <w:rPr>
          <w:rFonts w:eastAsia="Times New Roman" w:cs="Calibri"/>
          <w:color w:val="000000"/>
          <w:lang w:val="lt-LT"/>
        </w:rPr>
        <w:t xml:space="preserve">5.2.4. </w:t>
      </w:r>
      <w:r>
        <w:rPr>
          <w:rFonts w:eastAsia="Times New Roman" w:cs="Calibri"/>
          <w:lang w:val="lt-LT"/>
        </w:rPr>
        <w:t>naudoti tik Darbų vykdymui ir naudojimo sąlygoms tinkamą įrangą ir medžiagas</w:t>
      </w:r>
      <w:r>
        <w:rPr>
          <w:rFonts w:eastAsia="Times New Roman" w:cs="Calibri"/>
          <w:color w:val="000000"/>
          <w:lang w:val="lt-LT"/>
        </w:rPr>
        <w:t>;</w:t>
      </w:r>
    </w:p>
    <w:p>
      <w:pPr>
        <w:pStyle w:val="Standard"/>
        <w:suppressAutoHyphens w:val="false"/>
        <w:spacing w:lineRule="auto" w:line="240" w:before="0" w:after="0"/>
        <w:ind w:firstLine="567"/>
        <w:jc w:val="both"/>
        <w:rPr>
          <w:lang w:val="lt-LT"/>
        </w:rPr>
      </w:pPr>
      <w:r>
        <w:rPr>
          <w:rFonts w:eastAsia="Times New Roman" w:cs="Calibri"/>
          <w:lang w:val="lt-LT"/>
        </w:rPr>
        <w:t xml:space="preserve">5.2.5. paskirti Lietuvos Respublikos teisės aktų nustatyta tvarka </w:t>
      </w:r>
      <w:r>
        <w:rPr>
          <w:rFonts w:eastAsia="Times New Roman" w:cs="Calibri"/>
          <w:color w:val="000000"/>
          <w:lang w:val="lt-LT"/>
        </w:rPr>
        <w:t>atestuotą</w:t>
      </w:r>
      <w:r>
        <w:rPr>
          <w:rFonts w:eastAsia="Times New Roman" w:cs="Calibri"/>
          <w:lang w:val="lt-LT"/>
        </w:rPr>
        <w:t xml:space="preserve"> statybos darbų vadovą, kuris privalo vykdyti pareigas, numatytas STR 1.06.01:2016 „Statybos darbai. Statinio statybos priežiūra“, pateikti Užsakovui civilinės atsakomybės draudimo faktą įrodančius dokumentus, bei pateikti informaciją būtiną pranešimo apie statybos darbų pradžią pateikimui. kitus dokumentus;</w:t>
      </w:r>
    </w:p>
    <w:p>
      <w:pPr>
        <w:pStyle w:val="Standard"/>
        <w:suppressAutoHyphens w:val="false"/>
        <w:spacing w:lineRule="auto" w:line="240" w:before="0" w:after="0"/>
        <w:ind w:firstLine="567"/>
        <w:jc w:val="both"/>
        <w:rPr>
          <w:lang w:val="lt-LT"/>
        </w:rPr>
      </w:pPr>
      <w:r>
        <w:rPr>
          <w:rFonts w:eastAsia="Times New Roman" w:cs="Calibri"/>
          <w:lang w:val="lt-LT"/>
        </w:rPr>
        <w:t>5.2.6. užtikrinti saugos ir sveikatos darbe, priešgaisrinės</w:t>
      </w:r>
      <w:r>
        <w:rPr>
          <w:rFonts w:eastAsia="Times New Roman" w:cs="Calibri"/>
          <w:color w:val="000000"/>
          <w:lang w:val="lt-LT"/>
        </w:rPr>
        <w:t xml:space="preserve"> saugos ir aplinkos apsaugos reikalavimų vykdymą;</w:t>
      </w:r>
    </w:p>
    <w:p>
      <w:pPr>
        <w:pStyle w:val="Standard"/>
        <w:suppressAutoHyphens w:val="false"/>
        <w:spacing w:lineRule="auto" w:line="240" w:before="0" w:after="0"/>
        <w:ind w:firstLine="567"/>
        <w:jc w:val="both"/>
        <w:rPr>
          <w:lang w:val="lt-LT"/>
        </w:rPr>
      </w:pPr>
      <w:r>
        <w:rPr>
          <w:rFonts w:eastAsia="Times New Roman" w:cs="Calibri"/>
          <w:color w:val="000000"/>
          <w:lang w:val="lt-LT"/>
        </w:rPr>
        <w:t xml:space="preserve">5.2.7. </w:t>
      </w:r>
      <w:r>
        <w:rPr>
          <w:rFonts w:eastAsia="Times New Roman" w:cs="Calibri"/>
          <w:lang w:val="lt-LT"/>
        </w:rPr>
        <w:t>būti atsakingas už visus savo veiksmus ir statybos darbų metodų tinkamumą, patikimumą visu Darbų vykdymo laikotarpiu;</w:t>
      </w:r>
    </w:p>
    <w:p>
      <w:pPr>
        <w:pStyle w:val="Standard"/>
        <w:suppressAutoHyphens w:val="false"/>
        <w:spacing w:lineRule="auto" w:line="240" w:before="0" w:after="0"/>
        <w:ind w:firstLine="567"/>
        <w:jc w:val="both"/>
        <w:rPr>
          <w:lang w:val="lt-LT"/>
        </w:rPr>
      </w:pPr>
      <w:r>
        <w:rPr>
          <w:rFonts w:eastAsia="Times New Roman" w:cs="Calibri"/>
          <w:lang w:val="lt-LT"/>
        </w:rPr>
        <w:t>5.2.8. pašalinti iš statybvietės visas statybines atliekas ir šiukšles;</w:t>
      </w:r>
    </w:p>
    <w:p>
      <w:pPr>
        <w:pStyle w:val="Standard"/>
        <w:suppressAutoHyphens w:val="false"/>
        <w:spacing w:lineRule="auto" w:line="240" w:before="0" w:after="0"/>
        <w:ind w:firstLine="567"/>
        <w:jc w:val="both"/>
        <w:rPr>
          <w:lang w:val="lt-LT"/>
        </w:rPr>
      </w:pPr>
      <w:r>
        <w:rPr>
          <w:rFonts w:eastAsia="Times New Roman" w:cs="Calibri"/>
          <w:lang w:val="lt-LT"/>
        </w:rPr>
        <w:t>5.2.9. valyti ir prižiūrėti patekimo į statybvietę kelius,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pPr>
        <w:pStyle w:val="Standard"/>
        <w:suppressAutoHyphens w:val="false"/>
        <w:spacing w:lineRule="auto" w:line="240" w:before="0" w:after="0"/>
        <w:ind w:firstLine="567"/>
        <w:jc w:val="both"/>
        <w:rPr>
          <w:lang w:val="lt-LT"/>
        </w:rPr>
      </w:pPr>
      <w:r>
        <w:rPr>
          <w:rFonts w:eastAsia="Times New Roman" w:cs="Calibri"/>
          <w:lang w:val="lt-LT"/>
        </w:rPr>
        <w:t>5.2.10. užtikrinti, kad Rangovo personalas būtų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pPr>
        <w:pStyle w:val="Standard"/>
        <w:suppressAutoHyphens w:val="false"/>
        <w:spacing w:lineRule="auto" w:line="240" w:before="0" w:after="0"/>
        <w:ind w:firstLine="567"/>
        <w:jc w:val="both"/>
        <w:rPr>
          <w:lang w:val="lt-LT"/>
        </w:rPr>
      </w:pPr>
      <w:r>
        <w:rPr>
          <w:rFonts w:eastAsia="Times New Roman" w:cs="Calibri"/>
          <w:color w:val="000000"/>
          <w:lang w:val="lt-LT"/>
        </w:rPr>
        <w:t xml:space="preserve">5.2.11. Rangovas įsipareigoja </w:t>
      </w:r>
      <w:r>
        <w:rPr>
          <w:rFonts w:eastAsia="Times New Roman" w:cs="Calibri"/>
          <w:color w:val="000000"/>
          <w:shd w:fill="auto" w:val="clear"/>
          <w:lang w:val="lt-LT"/>
        </w:rPr>
        <w:t xml:space="preserve">saugoti statybų aikštelę, </w:t>
      </w:r>
      <w:r>
        <w:rPr>
          <w:rFonts w:eastAsia="Times New Roman" w:cs="Calibri"/>
          <w:color w:val="000000"/>
          <w:lang w:val="lt-LT"/>
        </w:rPr>
        <w:t>užtikrinti ir atsakyti, kad statybvietėje statybos darbus atliekantys asmenys turėtų skaidriai dirbančio asmens identifikavimo kodus, o kiti į statybvietę patenkantys asmenys būtų identifikuojami rangovo nustatytomis priemonėmis garantuoti, kad atlikti darbai atitinka norminių statybos dokumentų reikalavimus;</w:t>
      </w:r>
    </w:p>
    <w:p>
      <w:pPr>
        <w:pStyle w:val="Standard"/>
        <w:suppressAutoHyphens w:val="false"/>
        <w:spacing w:lineRule="auto" w:line="240" w:before="0" w:after="0"/>
        <w:ind w:firstLine="567"/>
        <w:jc w:val="both"/>
        <w:rPr>
          <w:lang w:val="lt-LT"/>
        </w:rPr>
      </w:pPr>
      <w:r>
        <w:rPr>
          <w:rFonts w:eastAsia="Times New Roman" w:cs="Calibri"/>
          <w:color w:val="000000"/>
          <w:lang w:val="lt-LT"/>
        </w:rPr>
        <w:t xml:space="preserve">5.2.12. </w:t>
      </w:r>
      <w:r>
        <w:rPr>
          <w:rFonts w:eastAsia="Times New Roman" w:cs="Calibri"/>
          <w:lang w:val="lt-LT"/>
        </w:rPr>
        <w:t>užtikrinti, kad Rangovas ir bet kurie asmenys (subrangovai</w:t>
      </w:r>
      <w:r>
        <w:rPr>
          <w:rFonts w:eastAsia="Times New Roman" w:cs="Calibri"/>
          <w:color w:val="FF4000"/>
          <w:lang w:val="lt-LT"/>
        </w:rPr>
        <w:t xml:space="preserve"> </w:t>
      </w:r>
      <w:r>
        <w:rPr>
          <w:rFonts w:eastAsia="Times New Roman" w:cs="Calibri"/>
          <w:lang w:val="lt-LT"/>
        </w:rPr>
        <w:t>ir kt.), veikiantys jo vardu, yra gavę visus būtinus leidimus, kvalifikacijos atestacijos pažymėjimus ar kitokius dokumentus, leidžiančius užsiimti šioje Sutartyje nustatyta veikla, kuri yra Rangovo sutartinių įsipareigojimų dalis. Rangovo ir specialistų kvalifikacija turi galioti visos sutarties vykdymo metu;</w:t>
      </w:r>
    </w:p>
    <w:p>
      <w:pPr>
        <w:pStyle w:val="Standard"/>
        <w:suppressAutoHyphens w:val="false"/>
        <w:spacing w:lineRule="auto" w:line="240" w:before="0" w:after="0"/>
        <w:ind w:firstLine="567"/>
        <w:jc w:val="both"/>
        <w:rPr>
          <w:lang w:val="lt-LT"/>
        </w:rPr>
      </w:pPr>
      <w:r>
        <w:rPr>
          <w:rFonts w:eastAsia="Times New Roman" w:cs="Calibri"/>
          <w:lang w:val="lt-LT"/>
        </w:rPr>
        <w:t>5.2.13. būti atsakingas už subrangovo, jo įgaliotų atstovų ir darbuotojų veiksmus arba neveikimą taip, kaip atsakytų už savo paties veiksmus ar neveikimą;</w:t>
      </w:r>
    </w:p>
    <w:p>
      <w:pPr>
        <w:pStyle w:val="Standard"/>
        <w:suppressAutoHyphens w:val="false"/>
        <w:spacing w:lineRule="auto" w:line="240" w:before="0" w:after="0"/>
        <w:ind w:firstLine="567"/>
        <w:jc w:val="both"/>
        <w:rPr>
          <w:lang w:val="lt-LT"/>
        </w:rPr>
      </w:pPr>
      <w:r>
        <w:rPr>
          <w:rFonts w:eastAsia="Times New Roman" w:cs="Calibri"/>
          <w:lang w:val="lt-LT"/>
        </w:rPr>
        <w:t xml:space="preserve">5.2.14. sudaryti sąlygas Užsakovo atstovams lankytis Darbų atlikimo objekte bei susipažinti su visa Darbų dokumentacija, </w:t>
      </w:r>
      <w:r>
        <w:rPr>
          <w:rFonts w:eastAsia="Times New Roman" w:cs="Calibri"/>
          <w:shd w:fill="auto" w:val="clear"/>
          <w:lang w:val="lt-LT"/>
        </w:rPr>
        <w:t>Užsakovui pareikalavus per ne ilgesnį nei 10 d. d. laikotarpį pateikti prašomus dokumentus susijusius su projekto įgyvendinimu.</w:t>
      </w:r>
    </w:p>
    <w:p>
      <w:pPr>
        <w:pStyle w:val="Standard"/>
        <w:suppressAutoHyphens w:val="false"/>
        <w:spacing w:lineRule="auto" w:line="240" w:before="0" w:after="0"/>
        <w:ind w:firstLine="567"/>
        <w:jc w:val="both"/>
        <w:rPr>
          <w:lang w:val="lt-LT"/>
        </w:rPr>
      </w:pPr>
      <w:r>
        <w:rPr>
          <w:rFonts w:eastAsia="Times New Roman" w:cs="Calibri"/>
          <w:lang w:val="lt-LT"/>
        </w:rPr>
        <w:t>5.2.15. užtikrinti, kad jis yra gavęs ir turi visą būtiną informaciją, kurią Rangovas, panaudodamas visas savo žinias ir rūpestingumą, galėjo gauti iki Sutarties pasirašymo ir kuri gali turėti įtakos Sutarties kainai arba Darbams, įskaitant techninės specifikacijos dokumentus ir duomenis.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pPr>
        <w:pStyle w:val="Standard"/>
        <w:suppressAutoHyphens w:val="false"/>
        <w:spacing w:lineRule="auto" w:line="240" w:before="0" w:after="0"/>
        <w:ind w:firstLine="567"/>
        <w:jc w:val="both"/>
        <w:rPr>
          <w:lang w:val="lt-LT"/>
        </w:rPr>
      </w:pPr>
      <w:r>
        <w:rPr>
          <w:rFonts w:eastAsia="Times New Roman" w:cs="Calibri"/>
          <w:lang w:val="lt-LT"/>
        </w:rPr>
        <w:t>5.2.16. prisiimti savo atsakomybei ir rizikai Darbų faktinių kiekių neatitikimą orientaciniams (projektiniams) kiekiams;</w:t>
      </w:r>
    </w:p>
    <w:p>
      <w:pPr>
        <w:pStyle w:val="Standard"/>
        <w:suppressAutoHyphens w:val="false"/>
        <w:spacing w:lineRule="auto" w:line="240" w:before="0" w:after="0"/>
        <w:ind w:firstLine="567"/>
        <w:jc w:val="both"/>
        <w:rPr>
          <w:lang w:val="lt-LT"/>
        </w:rPr>
      </w:pPr>
      <w:r>
        <w:rPr>
          <w:rFonts w:eastAsia="Times New Roman" w:cs="Calibri"/>
          <w:color w:val="000000"/>
          <w:lang w:val="lt-LT"/>
        </w:rPr>
        <w:t xml:space="preserve">5.2.17. savo sąskaita atlyginti </w:t>
      </w:r>
      <w:r>
        <w:rPr>
          <w:rFonts w:eastAsia="Times New Roman" w:cs="Calibri"/>
          <w:color w:val="000000"/>
          <w:shd w:fill="auto" w:val="clear"/>
          <w:lang w:val="lt-LT"/>
        </w:rPr>
        <w:t>tiesioginius ir netiesioginius</w:t>
      </w:r>
      <w:r>
        <w:rPr>
          <w:rFonts w:eastAsia="Times New Roman" w:cs="Calibri"/>
          <w:color w:val="000000"/>
          <w:lang w:val="lt-LT"/>
        </w:rPr>
        <w:t xml:space="preserve"> nuostolius, kurie atsirado dėl netinkamo Darbų vykdymo,</w:t>
      </w:r>
      <w:r>
        <w:rPr>
          <w:rFonts w:eastAsia="Times New Roman" w:cs="Calibri"/>
          <w:lang w:val="lt-LT"/>
        </w:rPr>
        <w:t xml:space="preserve"> ir apsaugoti Užsakovą nuo visų pretenzijų, kompensacijų</w:t>
      </w:r>
      <w:r>
        <w:rPr>
          <w:rFonts w:eastAsia="Times New Roman" w:cs="Calibri"/>
          <w:color w:val="000000"/>
          <w:lang w:val="lt-LT"/>
        </w:rPr>
        <w:t>;</w:t>
      </w:r>
    </w:p>
    <w:p>
      <w:pPr>
        <w:pStyle w:val="Standard"/>
        <w:suppressAutoHyphens w:val="false"/>
        <w:spacing w:lineRule="auto" w:line="240" w:before="0" w:after="0"/>
        <w:ind w:firstLine="567"/>
        <w:jc w:val="both"/>
        <w:rPr>
          <w:lang w:val="lt-LT"/>
        </w:rPr>
      </w:pPr>
      <w:r>
        <w:rPr>
          <w:rFonts w:eastAsia="Times New Roman" w:cs="Calibri"/>
          <w:color w:val="000000"/>
          <w:lang w:val="lt-LT"/>
        </w:rPr>
        <w:t>5.2.18. savo sąskaita šalinti kontrolinių bandymų metu nustatytus Darbų kokybės trūkumus iki teikiant dokumentus apmokėti už atliktus Darbus;</w:t>
      </w:r>
    </w:p>
    <w:p>
      <w:pPr>
        <w:pStyle w:val="Standard"/>
        <w:suppressAutoHyphens w:val="false"/>
        <w:spacing w:lineRule="auto" w:line="240" w:before="0" w:after="0"/>
        <w:ind w:firstLine="567"/>
        <w:jc w:val="both"/>
        <w:rPr>
          <w:lang w:val="lt-LT"/>
        </w:rPr>
      </w:pPr>
      <w:r>
        <w:rPr>
          <w:rFonts w:eastAsia="Times New Roman" w:cs="Calibri"/>
          <w:color w:val="000000"/>
          <w:lang w:val="lt-LT"/>
        </w:rPr>
        <w:t>5.2.19. Esant poreikiui, surašyti gamybinių susirinkimų protokolus;</w:t>
      </w:r>
    </w:p>
    <w:p>
      <w:pPr>
        <w:pStyle w:val="Standard"/>
        <w:suppressAutoHyphens w:val="false"/>
        <w:spacing w:lineRule="auto" w:line="240" w:before="0" w:after="0"/>
        <w:ind w:firstLine="567"/>
        <w:jc w:val="both"/>
        <w:rPr>
          <w:lang w:val="lt-LT"/>
        </w:rPr>
      </w:pPr>
      <w:r>
        <w:rPr>
          <w:rFonts w:eastAsia="Times New Roman" w:cs="Calibri"/>
          <w:color w:val="000000"/>
          <w:lang w:val="lt-LT"/>
        </w:rPr>
        <w:t>5.2.20. savo sąskaita atlikti medžiagų ir gaminių bandymus, jei Užsakovui kilo įtarimas dėl atliktų darbų kokybės;</w:t>
      </w:r>
    </w:p>
    <w:p>
      <w:pPr>
        <w:pStyle w:val="Standard"/>
        <w:suppressAutoHyphens w:val="false"/>
        <w:spacing w:lineRule="auto" w:line="240" w:before="0" w:after="0"/>
        <w:ind w:firstLine="567"/>
        <w:jc w:val="both"/>
        <w:rPr>
          <w:lang w:val="lt-LT"/>
        </w:rPr>
      </w:pPr>
      <w:r>
        <w:rPr>
          <w:rFonts w:eastAsia="Times New Roman" w:cs="Calibri"/>
          <w:color w:val="000000"/>
          <w:lang w:val="lt-LT"/>
        </w:rPr>
        <w:t>5.2.21. vykdyti Darbų pirkimo metu visus pateiktus įsipareigojimus;</w:t>
      </w:r>
    </w:p>
    <w:p>
      <w:pPr>
        <w:pStyle w:val="Standard"/>
        <w:suppressAutoHyphens w:val="false"/>
        <w:spacing w:lineRule="auto" w:line="240" w:before="0" w:after="0"/>
        <w:ind w:firstLine="567"/>
        <w:jc w:val="both"/>
        <w:rPr>
          <w:lang w:val="lt-LT"/>
        </w:rPr>
      </w:pPr>
      <w:r>
        <w:rPr>
          <w:rFonts w:eastAsia="Times New Roman" w:cs="Calibri"/>
          <w:color w:val="000000"/>
          <w:lang w:val="lt-LT"/>
        </w:rPr>
        <w:t>5.2.22. įspėti Užsakovą, jei jo nurodymų laikymasis kelia grėsmę atliekamų Darbų kokybei;</w:t>
      </w:r>
    </w:p>
    <w:p>
      <w:pPr>
        <w:pStyle w:val="Standard"/>
        <w:suppressAutoHyphens w:val="false"/>
        <w:spacing w:lineRule="auto" w:line="240" w:before="0" w:after="0"/>
        <w:ind w:firstLine="567"/>
        <w:jc w:val="both"/>
        <w:rPr>
          <w:lang w:val="lt-LT"/>
        </w:rPr>
      </w:pPr>
      <w:r>
        <w:rPr>
          <w:rFonts w:eastAsia="Times New Roman" w:cs="Calibri"/>
          <w:color w:val="000000"/>
          <w:lang w:val="lt-LT"/>
        </w:rPr>
        <w:t>5.2.23. laiku pranešti Užsakovui apie kitas aplinkybes, kenkiančias Darbų kokybei, atlikimo terminui;</w:t>
      </w:r>
    </w:p>
    <w:p>
      <w:pPr>
        <w:pStyle w:val="Standard"/>
        <w:suppressAutoHyphens w:val="false"/>
        <w:spacing w:lineRule="auto" w:line="240" w:before="0" w:after="0"/>
        <w:ind w:firstLine="567"/>
        <w:jc w:val="both"/>
        <w:rPr>
          <w:lang w:val="lt-LT"/>
        </w:rPr>
      </w:pPr>
      <w:r>
        <w:rPr>
          <w:rFonts w:eastAsia="Times New Roman" w:cs="Calibri"/>
          <w:color w:val="000000"/>
          <w:lang w:val="lt-LT"/>
        </w:rPr>
        <w:t>5.2.24. p</w:t>
      </w:r>
      <w:r>
        <w:rPr>
          <w:rFonts w:eastAsia="Times New Roman" w:cs="Calibri"/>
          <w:lang w:val="lt-LT"/>
        </w:rPr>
        <w:t>rivalo pasirūpinti el. statybos darbų žurnalu ir vadovaujantis STR 1.06.01:2016 „Statybos darbai. Statinio statybos priežiūra“ statybos darbų žurnalo pildymo tvarkos aprašo nuostatomis išpirkti ir pildyti statybos darbų žurnalą.</w:t>
      </w:r>
    </w:p>
    <w:p>
      <w:pPr>
        <w:pStyle w:val="Standard"/>
        <w:suppressAutoHyphens w:val="false"/>
        <w:spacing w:lineRule="auto" w:line="240" w:before="0" w:after="0"/>
        <w:ind w:firstLine="567"/>
        <w:jc w:val="both"/>
        <w:rPr>
          <w:lang w:val="lt-LT"/>
        </w:rPr>
      </w:pPr>
      <w:r>
        <w:rPr>
          <w:rFonts w:eastAsia="Times New Roman" w:cs="Calibri"/>
          <w:color w:val="000000"/>
          <w:lang w:val="lt-LT"/>
        </w:rPr>
        <w:t>5.2.25. parengti išpildomąją dokumentaciją, kadastrines bylas ir visą statybos užbaigimo procedūroms užbaigti būtiną dokumentaciją, laikantis teisės aktų reikalavimų.</w:t>
      </w:r>
    </w:p>
    <w:p>
      <w:pPr>
        <w:pStyle w:val="Standard"/>
        <w:suppressAutoHyphens w:val="false"/>
        <w:spacing w:lineRule="auto" w:line="240" w:before="0" w:after="0"/>
        <w:ind w:firstLine="567"/>
        <w:jc w:val="both"/>
        <w:rPr>
          <w:lang w:val="lt-LT"/>
        </w:rPr>
      </w:pPr>
      <w:r>
        <w:rPr>
          <w:rFonts w:eastAsia="Times New Roman" w:cs="Calibri"/>
          <w:color w:val="000000"/>
          <w:lang w:val="lt-LT"/>
        </w:rPr>
        <w:t>5.2.26. atliekamiems statybos darbams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pPr>
        <w:pStyle w:val="Standard"/>
        <w:suppressAutoHyphens w:val="false"/>
        <w:spacing w:lineRule="auto" w:line="240" w:before="0" w:after="0"/>
        <w:ind w:firstLine="567"/>
        <w:jc w:val="both"/>
        <w:rPr>
          <w:lang w:val="lt-LT"/>
        </w:rPr>
      </w:pPr>
      <w:r>
        <w:rPr>
          <w:rFonts w:eastAsia="Times New Roman" w:cs="Calibri"/>
          <w:color w:val="000000"/>
          <w:lang w:val="lt-LT"/>
        </w:rPr>
        <w:t>5.2.27. Užsakovui paprašius pateikti dokumentus (nepriklausomos įstaigos išduotą sertifikatą.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patvirtinančius, kad vykdydamas Darbus taiko Sutarties 5.2.26 punkto reikalavimus (dokumentai turi galioti visą Sutarties vykdymo laikotarpį). Rangovui nepateikus šių dokumentų ar pateiktų dokumentų galiojimo laikas yra pasibaigęs, šis įsipareigojimų pažeidimas laikomas esminiu.</w:t>
      </w:r>
    </w:p>
    <w:p>
      <w:pPr>
        <w:pStyle w:val="Standard"/>
        <w:suppressAutoHyphens w:val="false"/>
        <w:spacing w:lineRule="auto" w:line="240" w:before="0" w:after="0"/>
        <w:ind w:firstLine="567"/>
        <w:jc w:val="both"/>
        <w:rPr>
          <w:highlight w:val="none"/>
          <w:shd w:fill="auto" w:val="clear"/>
        </w:rPr>
      </w:pPr>
      <w:r>
        <w:rPr>
          <w:rFonts w:eastAsia="Times New Roman" w:cs="Calibri"/>
          <w:color w:val="000000"/>
          <w:shd w:fill="auto" w:val="clear"/>
          <w:lang w:val="lt-LT"/>
        </w:rPr>
        <w:t>5.2.28. Įstatymų pasikeitimų rizika yra Rangovo atsakomybė.</w:t>
      </w:r>
    </w:p>
    <w:p>
      <w:pPr>
        <w:pStyle w:val="Standard"/>
        <w:suppressAutoHyphens w:val="false"/>
        <w:spacing w:lineRule="auto" w:line="240" w:before="0" w:after="0"/>
        <w:ind w:firstLine="567"/>
        <w:jc w:val="both"/>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color w:val="000000"/>
          <w:lang w:val="lt-LT"/>
        </w:rPr>
        <w:t>VI. UŽSAKOVO TEISĖS</w:t>
      </w:r>
    </w:p>
    <w:p>
      <w:pPr>
        <w:pStyle w:val="Standard"/>
        <w:suppressAutoHyphens w:val="false"/>
        <w:spacing w:lineRule="auto" w:line="240" w:before="0" w:after="0"/>
        <w:ind w:firstLine="425"/>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lang w:val="lt-LT"/>
        </w:rPr>
        <w:t>6.1. Užsakovo teisės:</w:t>
      </w:r>
    </w:p>
    <w:p>
      <w:pPr>
        <w:pStyle w:val="Standard"/>
        <w:suppressAutoHyphens w:val="false"/>
        <w:spacing w:lineRule="auto" w:line="240" w:before="0" w:after="0"/>
        <w:ind w:firstLine="567"/>
        <w:jc w:val="both"/>
        <w:rPr>
          <w:lang w:val="lt-LT"/>
        </w:rPr>
      </w:pPr>
      <w:r>
        <w:rPr>
          <w:rFonts w:eastAsia="Times New Roman" w:cs="Calibri"/>
          <w:lang w:val="lt-LT"/>
        </w:rPr>
        <w:t>6.1.1. bet kuriuo metu tikrinti Darbų atlikimo eigą ir kokybę;</w:t>
      </w:r>
    </w:p>
    <w:p>
      <w:pPr>
        <w:pStyle w:val="Standard"/>
        <w:suppressAutoHyphens w:val="false"/>
        <w:spacing w:lineRule="auto" w:line="240" w:before="0" w:after="0"/>
        <w:ind w:firstLine="567"/>
        <w:jc w:val="both"/>
        <w:rPr>
          <w:lang w:val="lt-LT"/>
        </w:rPr>
      </w:pPr>
      <w:r>
        <w:rPr>
          <w:rFonts w:eastAsia="Times New Roman" w:cs="Calibri"/>
          <w:lang w:val="lt-LT"/>
        </w:rPr>
        <w:t>6.1.2. nukrypimus nuo kokybės reikalavimų ar kitus trūkumus fiksuoti vienkartinio patikrinimo aktais ir reikalauti per suderintą protingą terminą neatlygintinai pašalinti nurodytus trūkumus;</w:t>
      </w:r>
    </w:p>
    <w:p>
      <w:pPr>
        <w:pStyle w:val="Standard"/>
        <w:suppressAutoHyphens w:val="false"/>
        <w:spacing w:lineRule="auto" w:line="240" w:before="0" w:after="0"/>
        <w:ind w:firstLine="567"/>
        <w:jc w:val="both"/>
        <w:rPr>
          <w:lang w:val="lt-LT"/>
        </w:rPr>
      </w:pPr>
      <w:r>
        <w:rPr>
          <w:rFonts w:eastAsia="Times New Roman" w:cs="Calibri"/>
          <w:lang w:val="lt-LT"/>
        </w:rPr>
        <w:t>6.1.3. duoti nurodymus ar instrukcijas, siekdama užtikrinti tinkamą darbų atlikimą.</w:t>
      </w:r>
    </w:p>
    <w:p>
      <w:pPr>
        <w:pStyle w:val="Standard"/>
        <w:suppressAutoHyphens w:val="false"/>
        <w:spacing w:lineRule="auto" w:line="240" w:before="0" w:after="0"/>
        <w:ind w:firstLine="567"/>
        <w:jc w:val="both"/>
        <w:rPr>
          <w:lang w:val="lt-LT"/>
        </w:rPr>
      </w:pPr>
      <w:r>
        <w:rPr>
          <w:rFonts w:eastAsia="Times New Roman" w:cs="Calibri"/>
          <w:lang w:val="lt-LT"/>
        </w:rPr>
        <w:t>6.1.4. pareikšti reikalavimus dėl Darbų rezultato trūkumų, kurie buvo nustatyti per garantinį terminą.</w:t>
      </w:r>
    </w:p>
    <w:p>
      <w:pPr>
        <w:pStyle w:val="Standard"/>
        <w:suppressAutoHyphens w:val="false"/>
        <w:spacing w:lineRule="auto" w:line="240" w:before="0" w:after="0"/>
        <w:ind w:firstLine="567"/>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lang w:val="lt-LT"/>
        </w:rPr>
        <w:t>VII. RANGOVO ATSAKOMYBĖ IR GARANTIJOS</w:t>
      </w:r>
    </w:p>
    <w:p>
      <w:pPr>
        <w:pStyle w:val="Standard"/>
        <w:suppressAutoHyphens w:val="false"/>
        <w:spacing w:lineRule="auto" w:line="240" w:before="0" w:after="0"/>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lang w:val="lt-LT"/>
        </w:rPr>
        <w:t>7.1. Rangovo civilinė atsakomybė privalo būti apdrausta pagal Lietuvos Respublikos statybos įstatymo reikalavimus, vadovaujantis Statinio statybos, rekonstravimo, remonto, atnaujinimo (modernizavimo), griovimo ar kultūros paveldo statinio tvarkomųjų statybos darbų ir civilinės atsakomybės privalomojo draudimo taisyklėmis:</w:t>
      </w:r>
    </w:p>
    <w:p>
      <w:pPr>
        <w:pStyle w:val="Standard"/>
        <w:suppressAutoHyphens w:val="false"/>
        <w:spacing w:lineRule="auto" w:line="240" w:before="0" w:after="0"/>
        <w:ind w:firstLine="567"/>
        <w:jc w:val="both"/>
        <w:rPr>
          <w:lang w:val="lt-LT"/>
        </w:rPr>
      </w:pPr>
      <w:r>
        <w:rPr>
          <w:rFonts w:eastAsia="Times New Roman" w:cs="Calibri"/>
          <w:lang w:val="lt-LT"/>
        </w:rPr>
        <w:t>7.1.1. Minimali draudimo suma – 43 400 Eur (keturiasdešimt trys tūkstančiai keturi šimtai eurų) suma vienam draudžiamajam įvykiui;</w:t>
      </w:r>
    </w:p>
    <w:p>
      <w:pPr>
        <w:pStyle w:val="Standard"/>
        <w:suppressAutoHyphens w:val="false"/>
        <w:spacing w:lineRule="auto" w:line="240" w:before="0" w:after="0"/>
        <w:ind w:firstLine="567"/>
        <w:jc w:val="both"/>
        <w:rPr>
          <w:lang w:val="lt-LT"/>
        </w:rPr>
      </w:pPr>
      <w:r>
        <w:rPr>
          <w:rFonts w:eastAsia="Times New Roman" w:cs="Calibri"/>
          <w:lang w:val="lt-LT"/>
        </w:rPr>
        <w:t>7.1.2. Draudimo galiojimo terminas – ne trumpesnis nei laikotarpis nuo statybos darbų pradžios iki visų Rangovo atliktų darbų rezultato perdavimo Užsakovui dienos.</w:t>
      </w:r>
    </w:p>
    <w:p>
      <w:pPr>
        <w:pStyle w:val="Standard"/>
        <w:suppressAutoHyphens w:val="false"/>
        <w:spacing w:lineRule="auto" w:line="240" w:before="0" w:after="0"/>
        <w:ind w:firstLine="567"/>
        <w:jc w:val="both"/>
        <w:rPr>
          <w:lang w:val="lt-LT"/>
        </w:rPr>
      </w:pPr>
      <w:r>
        <w:rPr>
          <w:rFonts w:eastAsia="Times New Roman" w:cs="Calibri"/>
          <w:lang w:val="lt-LT"/>
        </w:rPr>
        <w:t>7.1.3. Civilinės atsakomybės besąlyginė išskaita – 2900 Eur (du tūkstančiai devyni šimtai eurų);</w:t>
      </w:r>
    </w:p>
    <w:p>
      <w:pPr>
        <w:pStyle w:val="Standard"/>
        <w:suppressAutoHyphens w:val="false"/>
        <w:spacing w:lineRule="auto" w:line="240" w:before="0" w:after="0"/>
        <w:ind w:firstLine="567"/>
        <w:jc w:val="both"/>
        <w:rPr>
          <w:lang w:val="lt-LT"/>
        </w:rPr>
      </w:pPr>
      <w:r>
        <w:rPr>
          <w:rFonts w:eastAsia="Times New Roman" w:cs="Calibri"/>
          <w:lang w:val="lt-LT"/>
        </w:rPr>
        <w:t>7.2. Rangovas per 10 darbo dienų nuo Sutarties pasirašymo dienos privalo pateikti civilinės atsakomybės draudimo faktą įrodančius dokumentus (Civilinės atsakomybės draudimą ir įmokos apmokėjimą patvirtinantį dokumentą).</w:t>
      </w:r>
    </w:p>
    <w:p>
      <w:pPr>
        <w:pStyle w:val="Standard"/>
        <w:suppressAutoHyphens w:val="false"/>
        <w:spacing w:lineRule="auto" w:line="240" w:before="0" w:after="0"/>
        <w:ind w:firstLine="567"/>
        <w:jc w:val="both"/>
        <w:rPr>
          <w:highlight w:val="none"/>
          <w:shd w:fill="auto" w:val="clear"/>
        </w:rPr>
      </w:pPr>
      <w:r>
        <w:rPr>
          <w:rFonts w:eastAsia="Times New Roman" w:cs="Calibri"/>
          <w:shd w:fill="auto" w:val="clear"/>
          <w:lang w:val="lt-LT"/>
        </w:rPr>
        <w:t xml:space="preserve">7.3. Rangovas, </w:t>
      </w:r>
      <w:r>
        <w:rPr>
          <w:color w:val="000000"/>
          <w:shd w:fill="auto" w:val="clear"/>
          <w:lang w:val="lt-LT"/>
        </w:rPr>
        <w:t>ne vėliau negu pirkimo Sutartis pradedama vykdyti, įsipareigoja Užsakovui pranešti tuo metu žinomų subrangovų pavadinimus, kontaktinius duomenis ir jų atstovus. Rangovas turi informuoti apie minėtos informacijos pasikeitimus visu pirkimo Sutarties vykdymo metu, taip pat apie naujus subrangovus b</w:t>
      </w:r>
      <w:r>
        <w:rPr>
          <w:i w:val="false"/>
          <w:iCs w:val="false"/>
          <w:color w:val="000000"/>
          <w:shd w:fill="auto" w:val="clear"/>
          <w:lang w:val="lt-LT"/>
        </w:rPr>
        <w:t>ei vadovaudamasis  Sutarties XIV dalimi “</w:t>
      </w:r>
      <w:r>
        <w:rPr>
          <w:rFonts w:eastAsia="Times New Roman" w:cs="Calibri"/>
          <w:b w:val="false"/>
          <w:bCs w:val="false"/>
          <w:i w:val="false"/>
          <w:iCs w:val="false"/>
          <w:color w:val="000000"/>
          <w:shd w:fill="auto" w:val="clear"/>
          <w:lang w:val="lt-LT"/>
        </w:rPr>
        <w:t>Subrangovai ir kiti sutarties vykdymui pasitelkiami asmenys, jų keitimo tvarka“</w:t>
      </w:r>
      <w:r>
        <w:rPr>
          <w:i w:val="false"/>
          <w:iCs w:val="false"/>
          <w:color w:val="000000"/>
          <w:shd w:fill="auto" w:val="clear"/>
          <w:lang w:val="lt-LT"/>
        </w:rPr>
        <w:t xml:space="preserve"> inicijuoti Sutarties 14.11 punkto pakeitimą. </w:t>
      </w:r>
    </w:p>
    <w:p>
      <w:pPr>
        <w:pStyle w:val="Normal"/>
        <w:widowControl w:val="false"/>
        <w:suppressAutoHyphens w:val="true"/>
        <w:bidi w:val="0"/>
        <w:spacing w:before="0" w:after="0"/>
        <w:ind w:firstLine="567" w:left="0" w:right="0"/>
        <w:jc w:val="left"/>
        <w:textAlignment w:val="baseline"/>
        <w:rPr/>
      </w:pPr>
      <w:r>
        <w:rPr>
          <w:rFonts w:eastAsia="Times New Roman" w:cs="Calibri"/>
          <w:lang w:val="lt-LT"/>
        </w:rPr>
        <w:t>7.4. Darbams atlikti turi būti naudojamos Lietuvos Respublikoje nustatyta tvarka sertifikuotos medžiagos, statybos produktai bei įrenginiai. Visos medžiagos bei montuojami įrenginiai privalo būti nauji.</w:t>
      </w:r>
    </w:p>
    <w:p>
      <w:pPr>
        <w:pStyle w:val="Standard"/>
        <w:suppressAutoHyphens w:val="false"/>
        <w:spacing w:lineRule="auto" w:line="240" w:before="0" w:after="0"/>
        <w:ind w:firstLine="567"/>
        <w:jc w:val="both"/>
        <w:rPr>
          <w:lang w:val="lt-LT"/>
        </w:rPr>
      </w:pPr>
      <w:r>
        <w:rPr>
          <w:rFonts w:eastAsia="Times New Roman" w:cs="Calibri"/>
          <w:color w:val="000000"/>
          <w:lang w:val="lt-LT"/>
        </w:rPr>
        <w:t>7.5. Kartu su galutiniu darbų perdavimo aktu Rangovas turi pateikti garantinio laikotarpio prievolių įvykdymo užtikrinimą, kurio suma garantiniu 3 metų laikotarpiu turi būti ne mažesnė kaip 5 procentai statinio statybos kainos su PVM.</w:t>
      </w:r>
    </w:p>
    <w:p>
      <w:pPr>
        <w:pStyle w:val="Standard"/>
        <w:suppressAutoHyphens w:val="false"/>
        <w:spacing w:lineRule="auto" w:line="240" w:before="0" w:after="0"/>
        <w:ind w:firstLine="567"/>
        <w:jc w:val="both"/>
        <w:rPr>
          <w:lang w:val="lt-LT"/>
        </w:rPr>
      </w:pPr>
      <w:r>
        <w:rPr>
          <w:rFonts w:eastAsia="Times New Roman" w:cs="Calibri"/>
          <w:color w:val="000000"/>
          <w:lang w:val="lt-LT"/>
        </w:rPr>
        <w:t>7.5.</w:t>
      </w:r>
      <w:r>
        <w:rPr>
          <w:rFonts w:eastAsia="Times New Roman" w:cs="Calibri"/>
          <w:b/>
          <w:bCs/>
          <w:color w:val="000000"/>
          <w:lang w:val="lt-LT"/>
        </w:rPr>
        <w:t xml:space="preserve"> </w:t>
      </w:r>
      <w:r>
        <w:rPr>
          <w:rFonts w:eastAsia="Times New Roman" w:cs="Calibri"/>
          <w:color w:val="000000"/>
          <w:lang w:val="lt-LT"/>
        </w:rPr>
        <w:t>Užsakovas, nustatęs Darbų trūkumus ar kitokius nukrypimus nuo Sutarties po Darbų perdavimo–priėmimo, jei tie trūkumai ar nukrypimai negalėjo būti nustatyti perimant Darbus (paslėpti</w:t>
      </w:r>
      <w:r>
        <w:rPr>
          <w:rFonts w:eastAsia="Times New Roman" w:cs="Calibri"/>
          <w:lang w:val="lt-LT"/>
        </w:rPr>
        <w:t xml:space="preserve"> trūkumai arba trūkumai, atsiradę statinio garantinio naudojimo metu), taip pat jei jie buvo Rangovo tyčia paslėpti, privalo apie juos raštu pranešti Rangovui.</w:t>
      </w:r>
    </w:p>
    <w:p>
      <w:pPr>
        <w:pStyle w:val="Standard"/>
        <w:suppressAutoHyphens w:val="false"/>
        <w:spacing w:lineRule="auto" w:line="240" w:before="0" w:after="0"/>
        <w:ind w:firstLine="567"/>
        <w:jc w:val="both"/>
        <w:rPr>
          <w:lang w:val="lt-LT"/>
        </w:rPr>
      </w:pPr>
      <w:r>
        <w:rPr>
          <w:rFonts w:eastAsia="Times New Roman" w:cs="Calibri"/>
          <w:lang w:val="lt-LT"/>
        </w:rPr>
        <w:t>7.6.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pPr>
        <w:pStyle w:val="Standard"/>
        <w:suppressAutoHyphens w:val="false"/>
        <w:spacing w:lineRule="auto" w:line="240" w:before="0" w:after="0"/>
        <w:ind w:firstLine="567"/>
        <w:jc w:val="both"/>
        <w:rPr>
          <w:lang w:val="lt-LT"/>
        </w:rPr>
      </w:pPr>
      <w:r>
        <w:rPr>
          <w:rFonts w:eastAsia="Times New Roman" w:cs="Calibri"/>
          <w:lang w:val="lt-LT"/>
        </w:rPr>
        <w:t>7.7. Garantinio laikotarpio metu atsiradus defektams, garantinis laikotarpis yra sustabdomas laikotarpiui nuo Užsakovo pirmojo pranešimo apie defektus dienos iki visiško defektų pašalinimo dienos.</w:t>
      </w:r>
    </w:p>
    <w:p>
      <w:pPr>
        <w:pStyle w:val="Standard"/>
        <w:suppressAutoHyphens w:val="false"/>
        <w:spacing w:lineRule="auto" w:line="240" w:before="0" w:after="0"/>
        <w:ind w:firstLine="567"/>
        <w:jc w:val="both"/>
        <w:rPr>
          <w:lang w:val="lt-LT"/>
        </w:rPr>
      </w:pPr>
      <w:r>
        <w:rPr>
          <w:rFonts w:eastAsia="Times New Roman" w:cs="Calibri"/>
          <w:lang w:val="lt-LT"/>
        </w:rPr>
        <w:t>7.8. Garantiniu laikotarpiu išaiškėjusius trūkumus (defektus) Rangovas šalina savo lėšomis.</w:t>
      </w:r>
    </w:p>
    <w:p>
      <w:pPr>
        <w:pStyle w:val="Standard"/>
        <w:suppressAutoHyphens w:val="false"/>
        <w:spacing w:lineRule="auto" w:line="240" w:before="0" w:after="0"/>
        <w:ind w:firstLine="567"/>
        <w:jc w:val="both"/>
        <w:rPr>
          <w:lang w:val="lt-LT"/>
        </w:rPr>
      </w:pPr>
      <w:r>
        <w:rPr>
          <w:rFonts w:eastAsia="Times New Roman" w:cs="Calibri"/>
          <w:lang w:val="lt-LT"/>
        </w:rPr>
        <w:t>7.9. Rangovui per nurodytą protingą laikotarpį neištaisius garantiniu laikotarpiu išaiškėjusių trūkumų (defektų), Užsakovas defektus šalina savo lėšomis (kreipiantis į trečiąsias šalis) ir Rangovui pateikia pažymą dėl defektų šalinimo nuostolių kompensavimo, kuri turi būti apmokėta per 30 kalendorinių dienų nuo pažymos pateikimo dienos.</w:t>
      </w:r>
    </w:p>
    <w:p>
      <w:pPr>
        <w:pStyle w:val="Standard"/>
        <w:suppressAutoHyphens w:val="false"/>
        <w:spacing w:lineRule="auto" w:line="240" w:before="0" w:after="0"/>
        <w:ind w:firstLine="567"/>
        <w:jc w:val="both"/>
        <w:rPr>
          <w:highlight w:val="none"/>
          <w:shd w:fill="auto" w:val="clear"/>
        </w:rPr>
      </w:pPr>
      <w:r>
        <w:rPr>
          <w:rFonts w:eastAsia="Times New Roman" w:cs="Calibri"/>
          <w:shd w:fill="auto" w:val="clear"/>
          <w:lang w:val="lt-LT"/>
        </w:rPr>
        <w:t>7.10. Rangovas negali perleisti savo teisių ir pareigų kitiems fiziniams ir/ar juridiniams asmenims, išskyrus atvejus, kai teisių perleidimas yra suderintas su Užsakovu.</w:t>
      </w:r>
    </w:p>
    <w:p>
      <w:pPr>
        <w:pStyle w:val="Standard"/>
        <w:suppressAutoHyphens w:val="false"/>
        <w:spacing w:lineRule="auto" w:line="240" w:before="0" w:after="0"/>
        <w:ind w:firstLine="567"/>
        <w:jc w:val="both"/>
        <w:rPr>
          <w:rFonts w:eastAsia="Times New Roman" w:cs="Calibri"/>
          <w:shd w:fill="FFFF00" w:val="clear"/>
          <w:lang w:val="lt-LT"/>
        </w:rPr>
      </w:pPr>
      <w:r>
        <w:rPr>
          <w:rFonts w:eastAsia="Times New Roman" w:cs="Calibri"/>
          <w:shd w:fill="FFFF00" w:val="clear"/>
          <w:lang w:val="lt-LT"/>
        </w:rPr>
      </w:r>
    </w:p>
    <w:p>
      <w:pPr>
        <w:pStyle w:val="Standard"/>
        <w:suppressAutoHyphens w:val="false"/>
        <w:spacing w:lineRule="auto" w:line="240" w:before="0" w:after="0"/>
        <w:jc w:val="center"/>
        <w:rPr>
          <w:lang w:val="lt-LT"/>
        </w:rPr>
      </w:pPr>
      <w:r>
        <w:rPr>
          <w:rFonts w:eastAsia="Times New Roman" w:cs="Calibri"/>
          <w:b/>
          <w:bCs/>
          <w:lang w:val="lt-LT"/>
        </w:rPr>
        <w:t>VIII. ATLIKTŲ DARBŲ PRIĖMIMAS</w:t>
      </w:r>
    </w:p>
    <w:p>
      <w:pPr>
        <w:pStyle w:val="Standard"/>
        <w:suppressAutoHyphens w:val="false"/>
        <w:spacing w:lineRule="auto" w:line="240" w:before="0" w:after="0"/>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lang w:val="lt-LT"/>
        </w:rPr>
        <w:t>8.1. Galutinis atliktų Darbų priėmimas įforminamas perdavimo–priėmimo aktu, kuriuo Užsakovas patvirtina priėmęs, o Rangovas – perdavęs atliktus Darbus.</w:t>
      </w:r>
    </w:p>
    <w:p>
      <w:pPr>
        <w:pStyle w:val="Standard"/>
        <w:suppressAutoHyphens w:val="false"/>
        <w:spacing w:lineRule="auto" w:line="240" w:before="0" w:after="0"/>
        <w:ind w:firstLine="567"/>
        <w:jc w:val="both"/>
        <w:rPr>
          <w:lang w:val="lt-LT"/>
        </w:rPr>
      </w:pPr>
      <w:r>
        <w:rPr>
          <w:rFonts w:eastAsia="Times New Roman" w:cs="Calibri"/>
          <w:lang w:val="lt-LT"/>
        </w:rPr>
        <w:t>8.2. Jeigu Darbai nebuvo priimti dėl nustatytų trūkumų, Rangovas per 10 darbo dienų privalo savo sąskaita tuos trūkumus pašalinti. Pašalinus minėtus trūkumus, Darbų priėmimas vykdomas iš naujo šioje Sutartyje nustatyta tvarka.</w:t>
      </w:r>
    </w:p>
    <w:p>
      <w:pPr>
        <w:pStyle w:val="Standard"/>
        <w:suppressAutoHyphens w:val="false"/>
        <w:spacing w:lineRule="auto" w:line="240" w:before="0" w:after="0"/>
        <w:ind w:firstLine="567"/>
        <w:jc w:val="both"/>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lang w:val="lt-LT"/>
        </w:rPr>
        <w:t>IX. ŠALIŲ ATSAKOMYBĖ IR SUTARTIES ĮVYKDYMO UŽTIKRINIMAS</w:t>
      </w:r>
    </w:p>
    <w:p>
      <w:pPr>
        <w:pStyle w:val="Standard"/>
        <w:suppressAutoHyphens w:val="false"/>
        <w:spacing w:lineRule="auto" w:line="240" w:before="0" w:after="0"/>
        <w:ind w:firstLine="567"/>
        <w:jc w:val="both"/>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lang w:val="lt-LT"/>
        </w:rPr>
        <w:t>9.1. Užsakovas, uždelsęs sumokėti Rangovui priklausančias sumas šioje Sutartyje nustatyta tvarka ir terminais, Rangovui pareikalavus, moka Rangovui 0,02 % (dviejų šimtųjų) delspinigių už kiekvieną pavėluotą dieną nuo ne laiku apmokėtos sumos.</w:t>
      </w:r>
    </w:p>
    <w:p>
      <w:pPr>
        <w:pStyle w:val="Standard"/>
        <w:suppressAutoHyphens w:val="false"/>
        <w:spacing w:lineRule="auto" w:line="240" w:before="0" w:after="0"/>
        <w:ind w:firstLine="567"/>
        <w:jc w:val="both"/>
        <w:rPr>
          <w:lang w:val="lt-LT"/>
        </w:rPr>
      </w:pPr>
      <w:r>
        <w:rPr>
          <w:rFonts w:eastAsia="Times New Roman" w:cs="Calibri"/>
          <w:color w:val="000000"/>
          <w:lang w:val="lt-LT"/>
        </w:rPr>
        <w:t xml:space="preserve">9.2. </w:t>
      </w:r>
      <w:r>
        <w:rPr>
          <w:rFonts w:eastAsia="Times New Roman" w:cs="Calibri"/>
          <w:color w:val="000000"/>
          <w:shd w:fill="auto" w:val="clear"/>
          <w:lang w:val="lt-LT"/>
        </w:rPr>
        <w:t>Rangovas, uždelsęs atlikti Darbus Sutartyje numatytais terminais, moka 150 eur už kiekvieną uždelstą dieną. Delspinigiai turi būti apmokėti per 30 kalendorinių dienų nuo pažymos apie priskaičiuotus delspinigius pateikimo dienos.</w:t>
      </w:r>
    </w:p>
    <w:p>
      <w:pPr>
        <w:pStyle w:val="Standard"/>
        <w:suppressAutoHyphens w:val="false"/>
        <w:spacing w:lineRule="auto" w:line="240" w:before="0" w:after="0"/>
        <w:ind w:firstLine="567"/>
        <w:jc w:val="both"/>
        <w:rPr>
          <w:lang w:val="lt-LT"/>
        </w:rPr>
      </w:pPr>
      <w:r>
        <w:rPr>
          <w:rFonts w:eastAsia="Times New Roman" w:cs="Calibri"/>
          <w:lang w:val="lt-LT"/>
        </w:rPr>
        <w:t>9.3. Delspinigių sumokėjimas ir nuostolių, padarytų netinkamu Sutarties vykdymu, atlyginimas neatleidžia nuo pareigos įvykdyti įsipareigojimus. Delspinigiai netaikomi, kai vėluojama dėl ne nuo Rangovo priklausančių aplinkybių, Rangovui pateikus vėlavimo priežastis pagrindžiančius dokumentus.</w:t>
      </w:r>
    </w:p>
    <w:p>
      <w:pPr>
        <w:pStyle w:val="Standard"/>
        <w:suppressAutoHyphens w:val="false"/>
        <w:spacing w:lineRule="auto" w:line="240" w:before="0" w:after="0"/>
        <w:ind w:firstLine="567"/>
        <w:jc w:val="both"/>
        <w:rPr>
          <w:lang w:val="lt-LT"/>
        </w:rPr>
      </w:pPr>
      <w:r>
        <w:rPr>
          <w:rFonts w:eastAsia="Times New Roman" w:cs="Calibri"/>
          <w:lang w:val="lt-LT"/>
        </w:rPr>
        <w:t xml:space="preserve">9.4. Rangovas neįgyvendinęs Techninės specifikacijos 3.5. ir 3.6. punktuose numatytų reikalavimų (toliau – Reikalavimai) Užsakovui moka 5000 Eur baudą. </w:t>
      </w:r>
      <w:r>
        <w:rPr>
          <w:rFonts w:eastAsia="Times New Roman" w:cs="Calibri"/>
          <w:color w:val="000000"/>
          <w:lang w:val="lt-LT"/>
        </w:rPr>
        <w:t>Bauda turi būti apmokėta per 30 kalendorinių dienų nuo pažymos apie priskaičiuotą baudą pateikimo dienos. Baudos sumokėjimas neatleidžia Rangovo nuo prievolės įgyvendinti techninės specifikacijos 3.5 ir 3.6 punktuose numatytus reikalavimus. Neįgyvendinus reikalavimų per Užsakovo nurodytą protingą terminą, Rangovas bus įtraukiamas į nepatikimų tiekėjų sąrašą.</w:t>
      </w:r>
    </w:p>
    <w:p>
      <w:pPr>
        <w:pStyle w:val="Standard"/>
        <w:suppressAutoHyphens w:val="false"/>
        <w:spacing w:lineRule="auto" w:line="240" w:before="0" w:after="0"/>
        <w:ind w:firstLine="567"/>
        <w:jc w:val="both"/>
        <w:rPr>
          <w:lang w:val="lt-LT"/>
        </w:rPr>
      </w:pPr>
      <w:r>
        <w:rPr>
          <w:rFonts w:eastAsia="Times New Roman" w:cs="Calibri"/>
          <w:lang w:val="lt-LT"/>
        </w:rPr>
        <w:t>9.5.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w:t>
      </w:r>
    </w:p>
    <w:p>
      <w:pPr>
        <w:pStyle w:val="Standard"/>
        <w:suppressAutoHyphens w:val="false"/>
        <w:spacing w:lineRule="auto" w:line="240" w:before="0" w:after="0"/>
        <w:ind w:firstLine="567"/>
        <w:jc w:val="both"/>
        <w:rPr>
          <w:lang w:val="lt-LT"/>
        </w:rPr>
      </w:pPr>
      <w:r>
        <w:rPr>
          <w:rFonts w:eastAsia="Times New Roman" w:cs="Calibri"/>
          <w:lang w:val="lt-LT"/>
        </w:rPr>
        <w:t>9.6. Rangovas turi kompensuoti Užsakovo nuostolius atsiradusius dėl sutarties vykdymo nesilaikant viešojo pirkimo dokumentuose numatytų sąlygų.</w:t>
      </w:r>
    </w:p>
    <w:p>
      <w:pPr>
        <w:pStyle w:val="Standard"/>
        <w:suppressAutoHyphens w:val="false"/>
        <w:spacing w:lineRule="auto" w:line="240" w:before="0" w:after="0"/>
        <w:ind w:firstLine="567"/>
        <w:jc w:val="both"/>
        <w:rPr>
          <w:lang w:val="lt-LT"/>
        </w:rPr>
      </w:pPr>
      <w:r>
        <w:rPr>
          <w:rFonts w:eastAsia="Times New Roman" w:cs="Calibri"/>
          <w:lang w:val="lt-LT"/>
        </w:rPr>
        <w:t>9.7. Jei dėl Rangovo neveikimo ar netinkamo veikimo Darbų atlikimo bei garantinio laikotarpio metu padaroma žala tretiesiems asmenims, Rangovas privalo atlyginti atsiradusią žalą.</w:t>
      </w:r>
    </w:p>
    <w:p>
      <w:pPr>
        <w:pStyle w:val="Standard"/>
        <w:suppressAutoHyphens w:val="false"/>
        <w:spacing w:lineRule="auto" w:line="240" w:before="0" w:after="0"/>
        <w:ind w:firstLine="567"/>
        <w:jc w:val="both"/>
        <w:rPr>
          <w:lang w:val="lt-LT"/>
        </w:rPr>
      </w:pPr>
      <w:r>
        <w:rPr>
          <w:rFonts w:eastAsia="Times New Roman" w:cs="Calibri"/>
          <w:lang w:val="lt-LT"/>
        </w:rPr>
        <w:t>9.8. Šalys pareiškia, kad Sutartyje nustatytos netesybos yra laikomos teisingomis bei protingo dydžio, ir sutinka, kad jos nebūtų mažinamos, nepriklausomai nuo to, ar dalis prievolės yra įvykdyta. Šalys pripažįsta, kad minėtų netesybų dalis yra laikoma minimalia neginčijama nukentėjusiosios Šalies patirtų nuostolių suma, kurią kita Šalis turi kompensuoti nukentėjusiajai Šaliai dėl Sutarties pažeidimo (nesilaikymo), nereikalaujant nuostolių dydį patvirtinančių įrodymų.</w:t>
      </w:r>
    </w:p>
    <w:p>
      <w:pPr>
        <w:pStyle w:val="Standard"/>
        <w:suppressAutoHyphens w:val="false"/>
        <w:spacing w:lineRule="auto" w:line="240" w:before="0" w:after="0"/>
        <w:ind w:firstLine="567"/>
        <w:jc w:val="both"/>
        <w:rPr>
          <w:lang w:val="lt-LT"/>
        </w:rPr>
      </w:pPr>
      <w:r>
        <w:rPr>
          <w:rFonts w:eastAsia="Times New Roman" w:cs="Calibri"/>
          <w:lang w:val="lt-LT"/>
        </w:rPr>
        <w:t>9.9.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pPr>
        <w:pStyle w:val="Standard"/>
        <w:suppressAutoHyphens w:val="false"/>
        <w:spacing w:lineRule="auto" w:line="240" w:before="0" w:after="0"/>
        <w:ind w:firstLine="567"/>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lang w:val="lt-LT"/>
        </w:rPr>
        <w:t>X. NENUGALIMOS JĖGOS APLINKYBĖS</w:t>
      </w:r>
    </w:p>
    <w:p>
      <w:pPr>
        <w:pStyle w:val="Standard"/>
        <w:suppressAutoHyphens w:val="false"/>
        <w:spacing w:lineRule="auto" w:line="240" w:before="0" w:after="0"/>
        <w:jc w:val="center"/>
        <w:rPr>
          <w:lang w:val="lt-LT"/>
        </w:rPr>
      </w:pPr>
      <w:r>
        <w:rPr>
          <w:lang w:val="lt-LT"/>
        </w:rPr>
      </w:r>
    </w:p>
    <w:p>
      <w:pPr>
        <w:pStyle w:val="Standard"/>
        <w:suppressAutoHyphens w:val="false"/>
        <w:spacing w:lineRule="auto" w:line="240" w:before="0" w:after="0"/>
        <w:ind w:firstLine="567"/>
        <w:jc w:val="both"/>
        <w:rPr>
          <w:lang w:val="lt-LT"/>
        </w:rPr>
      </w:pPr>
      <w:r>
        <w:rPr>
          <w:rFonts w:eastAsia="Times New Roman" w:cs="Calibri"/>
          <w:lang w:val="lt-LT"/>
        </w:rPr>
        <w:t>10.1. Šalis gali būti visiškai ar iš dalies atleidžiama nuo atsakomybės dėl ypatingų ir neišvengiamų aplinkybių – nenugalimos jėgos (</w:t>
      </w:r>
      <w:r>
        <w:rPr>
          <w:rFonts w:eastAsia="Times New Roman" w:cs="Calibri"/>
          <w:i/>
          <w:iCs/>
          <w:lang w:val="lt-LT"/>
        </w:rPr>
        <w:t>force majeure</w:t>
      </w:r>
      <w:r>
        <w:rPr>
          <w:rFonts w:eastAsia="Times New Roman" w:cs="Calibri"/>
          <w:lang w:val="lt-LT"/>
        </w:rPr>
        <w:t>), nustatytos ir jas patyrusios Šalies įrodytos pagal Lietuvos Respublikos civilinį kodeksą, jeigu Šalis nedelsiant pranešė kitai Šaliai apie kliūtį bei jos poveikį įsipareigojimų vykdymui.</w:t>
      </w:r>
    </w:p>
    <w:p>
      <w:pPr>
        <w:pStyle w:val="Standard"/>
        <w:suppressAutoHyphens w:val="false"/>
        <w:spacing w:lineRule="auto" w:line="240" w:before="0" w:after="0"/>
        <w:ind w:firstLine="567"/>
        <w:jc w:val="both"/>
        <w:rPr>
          <w:lang w:val="lt-LT"/>
        </w:rPr>
      </w:pPr>
      <w:r>
        <w:rPr>
          <w:rFonts w:eastAsia="Times New Roman" w:cs="Calibri"/>
          <w:lang w:val="lt-LT"/>
        </w:rPr>
        <w:t>10.2. Nenugalima jėga (</w:t>
      </w:r>
      <w:r>
        <w:rPr>
          <w:rFonts w:eastAsia="Times New Roman" w:cs="Calibri"/>
          <w:i/>
          <w:iCs/>
          <w:lang w:val="lt-LT"/>
        </w:rPr>
        <w:t>force majeure</w:t>
      </w:r>
      <w:r>
        <w:rPr>
          <w:rFonts w:eastAsia="Times New Roman" w:cs="Calibri"/>
          <w:lang w:val="lt-LT"/>
        </w:rPr>
        <w:t>) nelaikomos Šalies veiklai turėjusios aplinkybės į kurių galimybę Šalys sudarydamas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Pr>
          <w:rFonts w:eastAsia="Times New Roman" w:cs="Calibri"/>
          <w:i/>
          <w:iCs/>
          <w:lang w:val="lt-LT"/>
        </w:rPr>
        <w:t>force majeure</w:t>
      </w:r>
      <w:r>
        <w:rPr>
          <w:rFonts w:eastAsia="Times New Roman" w:cs="Calibri"/>
          <w:lang w:val="lt-LT"/>
        </w:rPr>
        <w:t>) taip pat nelaikoma tai, kad rinkoje nėra reikalingų prievolei vykdyti prekių, Šalis neturi reikiamų finansinių išteklių arba Šalies kontrahentai pažeidžia savo prievoles.</w:t>
      </w:r>
    </w:p>
    <w:p>
      <w:pPr>
        <w:pStyle w:val="Standard"/>
        <w:suppressAutoHyphens w:val="false"/>
        <w:spacing w:lineRule="auto" w:line="240" w:before="0" w:after="0"/>
        <w:ind w:firstLine="567"/>
        <w:jc w:val="both"/>
        <w:rPr>
          <w:lang w:val="lt-LT"/>
        </w:rPr>
      </w:pPr>
      <w:r>
        <w:rPr>
          <w:rFonts w:eastAsia="Times New Roman" w:cs="Calibri"/>
          <w:lang w:val="lt-LT"/>
        </w:rPr>
        <w:t>10.3. Jei nenugalimos jėgos (</w:t>
      </w:r>
      <w:r>
        <w:rPr>
          <w:rFonts w:eastAsia="Times New Roman" w:cs="Calibri"/>
          <w:i/>
          <w:iCs/>
          <w:lang w:val="lt-LT"/>
        </w:rPr>
        <w:t>force majeure</w:t>
      </w:r>
      <w:r>
        <w:rPr>
          <w:rFonts w:eastAsia="Times New Roman" w:cs="Calibri"/>
          <w:lang w:val="lt-LT"/>
        </w:rPr>
        <w:t>) aplinkybės trunka ilgiau kaip 120 kalendorinių dienų, tuomet bet kuri Sutarties šalis turi teisę nutraukti Sutartį įspėdama apie tai kitą šalį prieš 30 kalendorinių dienų. Jei pasibaigus šiam 30 dienų laikotarpiui nenugalimos jėgos (</w:t>
      </w:r>
      <w:r>
        <w:rPr>
          <w:rFonts w:eastAsia="Times New Roman" w:cs="Calibri"/>
          <w:i/>
          <w:iCs/>
          <w:lang w:val="lt-LT"/>
        </w:rPr>
        <w:t>force majeure</w:t>
      </w:r>
      <w:r>
        <w:rPr>
          <w:rFonts w:eastAsia="Times New Roman" w:cs="Calibri"/>
          <w:lang w:val="lt-LT"/>
        </w:rPr>
        <w:t>) aplinkybės vis dar yra, Sutartis nutraukiama ir pagal Sutarties sąlygas Šalys atleidžiamos nuo tolesnio Sutarties vykdymo.</w:t>
      </w:r>
    </w:p>
    <w:p>
      <w:pPr>
        <w:pStyle w:val="Standard"/>
        <w:suppressAutoHyphens w:val="false"/>
        <w:spacing w:lineRule="auto" w:line="240" w:before="0" w:after="0"/>
        <w:ind w:firstLine="567"/>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lang w:val="lt-LT"/>
        </w:rPr>
        <w:t>XI. SUTARTIES GALIOJIMAS</w:t>
      </w:r>
    </w:p>
    <w:p>
      <w:pPr>
        <w:pStyle w:val="Standard"/>
        <w:suppressAutoHyphens w:val="false"/>
        <w:spacing w:lineRule="auto" w:line="240" w:before="0" w:after="0"/>
        <w:ind w:left="1168"/>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lang w:val="lt-LT"/>
        </w:rPr>
        <w:t xml:space="preserve">11.1. Sutartis įsigalioja abiem Šalims pasirašius Sutartį (antro parašo datos) ir galioja </w:t>
      </w:r>
      <w:r>
        <w:rPr>
          <w:rFonts w:eastAsia="Times New Roman" w:cs="Calibri"/>
          <w:color w:val="000000"/>
          <w:lang w:val="lt-LT"/>
        </w:rPr>
        <w:t>iki Užsakovo ir Rangovo sutartinių įsipareigojimų įvykdymo dienos.</w:t>
      </w:r>
    </w:p>
    <w:p>
      <w:pPr>
        <w:pStyle w:val="Standard"/>
        <w:suppressAutoHyphens w:val="false"/>
        <w:spacing w:lineRule="auto" w:line="240" w:before="0" w:after="0"/>
        <w:ind w:firstLine="567"/>
        <w:jc w:val="both"/>
        <w:rPr>
          <w:lang w:val="lt-LT"/>
        </w:rPr>
      </w:pPr>
      <w:r>
        <w:rPr>
          <w:rFonts w:eastAsia="Times New Roman" w:cs="Calibri"/>
          <w:lang w:val="lt-LT"/>
        </w:rPr>
        <w:t>11.2. Jei bet kuri Sutarties nuostata taps ar bus pripažinta visiškai ar iš dalies negaliojančia, tai neturės įtakos kitų Sutarties nuostatų galiojimui.</w:t>
      </w:r>
    </w:p>
    <w:p>
      <w:pPr>
        <w:pStyle w:val="Standard"/>
        <w:suppressAutoHyphens w:val="false"/>
        <w:spacing w:lineRule="auto" w:line="240" w:before="0" w:after="0"/>
        <w:ind w:firstLine="567"/>
        <w:jc w:val="both"/>
        <w:rPr>
          <w:lang w:val="lt-LT"/>
        </w:rPr>
      </w:pPr>
      <w:r>
        <w:rPr>
          <w:rFonts w:eastAsia="Times New Roman" w:cs="Calibri"/>
          <w:lang w:val="lt-LT"/>
        </w:rPr>
        <w:t>11.3.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pPr>
        <w:pStyle w:val="Standard"/>
        <w:suppressAutoHyphens w:val="false"/>
        <w:spacing w:lineRule="auto" w:line="240" w:before="0" w:after="0"/>
        <w:ind w:firstLine="567"/>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color w:val="000000"/>
          <w:lang w:val="lt-LT"/>
        </w:rPr>
        <w:t>XII. SUTARTIES PAKEITIMAS</w:t>
      </w:r>
    </w:p>
    <w:p>
      <w:pPr>
        <w:pStyle w:val="Standard"/>
        <w:suppressAutoHyphens w:val="false"/>
        <w:spacing w:lineRule="auto" w:line="240" w:before="0" w:after="0"/>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lang w:val="lt-LT"/>
        </w:rPr>
        <w:t>12.1. Pirkimo sutarties sąlygos keičiamos vadovaujantis Lietuvos Respublikos viešųjų pirkimų įstatymo 89 straipsnio nuostatomis. Tais atvejais, kai Sutarties sąlygų keitimo būtinybės nebuvo įmanoma numatyti rengiant pirkimo dokumentus ir Sutarties sudarymo metu, Šalys gali keisti tik neesmines Sutarties sąlygas.</w:t>
      </w:r>
    </w:p>
    <w:p>
      <w:pPr>
        <w:pStyle w:val="Standard"/>
        <w:suppressAutoHyphens w:val="false"/>
        <w:spacing w:lineRule="auto" w:line="240" w:before="0" w:after="0"/>
        <w:ind w:firstLine="567"/>
        <w:jc w:val="both"/>
        <w:rPr>
          <w:lang w:val="lt-LT"/>
        </w:rPr>
      </w:pPr>
      <w:r>
        <w:rPr>
          <w:rFonts w:eastAsia="Times New Roman" w:cs="Calibri"/>
          <w:spacing w:val="2"/>
          <w:lang w:val="lt-LT"/>
        </w:rPr>
        <w:t>12.2. Užsakovas, esant būtinybei, gali įsigyti papildomų darbų vadovaudamas</w:t>
      </w:r>
      <w:r>
        <w:rPr>
          <w:rFonts w:eastAsia="Times New Roman" w:cs="Calibri"/>
          <w:color w:val="000000"/>
          <w:spacing w:val="2"/>
          <w:lang w:val="lt-LT"/>
        </w:rPr>
        <w:t>is Metodika.</w:t>
      </w:r>
    </w:p>
    <w:p>
      <w:pPr>
        <w:pStyle w:val="Standard"/>
        <w:suppressAutoHyphens w:val="false"/>
        <w:spacing w:lineRule="auto" w:line="240" w:before="0" w:after="0"/>
        <w:ind w:firstLine="567"/>
        <w:jc w:val="both"/>
        <w:rPr>
          <w:lang w:val="lt-LT"/>
        </w:rPr>
      </w:pPr>
      <w:r>
        <w:rPr>
          <w:rFonts w:eastAsia="Times New Roman" w:cs="Calibri"/>
          <w:spacing w:val="2"/>
          <w:lang w:val="lt-LT"/>
        </w:rPr>
        <w:t xml:space="preserve">12.3. 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w:t>
      </w:r>
      <w:r>
        <w:rPr>
          <w:rFonts w:eastAsia="Times New Roman" w:cs="Calibri"/>
          <w:color w:val="000000"/>
          <w:spacing w:val="2"/>
          <w:lang w:val="lt-LT"/>
        </w:rPr>
        <w:t>Metodikoje</w:t>
      </w:r>
      <w:r>
        <w:rPr>
          <w:rFonts w:eastAsia="Times New Roman" w:cs="Calibri"/>
          <w:lang w:val="lt-LT"/>
        </w:rPr>
        <w:t xml:space="preserve"> nustatyta tvarka.</w:t>
      </w:r>
    </w:p>
    <w:p>
      <w:pPr>
        <w:pStyle w:val="Standard"/>
        <w:suppressAutoHyphens w:val="false"/>
        <w:spacing w:lineRule="auto" w:line="240" w:before="0" w:after="0"/>
        <w:ind w:firstLine="567"/>
        <w:jc w:val="both"/>
        <w:rPr>
          <w:lang w:val="lt-LT"/>
        </w:rPr>
      </w:pPr>
      <w:r>
        <w:rPr>
          <w:rFonts w:eastAsia="Times New Roman" w:cs="Calibri"/>
          <w:lang w:val="lt-LT"/>
        </w:rPr>
        <w:t>12.4. Sutarties Šalys gali bet kurio atskiro darbo atsisakyti arba darbo apimtį sumažinti vadovaujantis tokia tvarka:</w:t>
      </w:r>
    </w:p>
    <w:p>
      <w:pPr>
        <w:pStyle w:val="Standard"/>
        <w:suppressAutoHyphens w:val="false"/>
        <w:spacing w:lineRule="auto" w:line="240" w:before="0" w:after="0"/>
        <w:ind w:firstLine="567"/>
        <w:jc w:val="both"/>
        <w:rPr>
          <w:lang w:val="lt-LT"/>
        </w:rPr>
      </w:pPr>
      <w:r>
        <w:rPr>
          <w:rFonts w:eastAsia="Times New Roman" w:cs="Calibri"/>
          <w:color w:val="000000"/>
          <w:lang w:val="lt-LT"/>
        </w:rPr>
        <w:t>12.4.1. jei būtina / tikslinga atsisakyti atskiro darbo ar būtina / tikslinga mažinti Darbų apimtis, Rangovas pateikia nevykdytinų darbų lokalinę sąmatą, kurioje nurodo nevykdytinų darbų kainas, apskaičiuotas pagal Sutarties 2.7.1 papunktyje nurodytus Darbų kainų nustatymo būdus, ir, Užsakovui įvertinus Rangovo siūlymą, koreguojama Sutarties kaina;</w:t>
      </w:r>
    </w:p>
    <w:p>
      <w:pPr>
        <w:pStyle w:val="Standard"/>
        <w:suppressAutoHyphens w:val="false"/>
        <w:spacing w:lineRule="auto" w:line="240" w:before="0" w:after="0"/>
        <w:ind w:firstLine="567"/>
        <w:jc w:val="both"/>
        <w:rPr>
          <w:lang w:val="lt-LT"/>
        </w:rPr>
      </w:pPr>
      <w:r>
        <w:rPr>
          <w:rFonts w:eastAsia="Times New Roman" w:cs="Calibri"/>
          <w:color w:val="000000"/>
          <w:lang w:val="lt-LT"/>
        </w:rPr>
        <w:t>12.4.2. jei Sutartyje numatytą atskirą darbą (ar jo dalį) būtina / tikslinga keisti kitu darbu, Rangovas pateikia nevykdytinų darbų lokalinę sąmatą, kurioje nurodo nevykdytinų darbų kainas, apskaičiuotas pagal Sutarties 2.7.1 papunktyje nurodytus Darbų kainų nustatymo būdus, bei siūlymą dėl keistinų darbų, t. y. vietoje nevykdomų darbų siūlomų atlikti darbų lokalinę sąmatą, sudarytą pagal 2.7.1. papunktyje nurodytus darbų kainų nustatymo būdus, ir, Užsakovui įvertinus Rangovo siūlymą, koreguojama Sutarties kaina (jei reikia).</w:t>
      </w:r>
    </w:p>
    <w:p>
      <w:pPr>
        <w:pStyle w:val="Standard"/>
        <w:suppressAutoHyphens w:val="false"/>
        <w:spacing w:lineRule="auto" w:line="240" w:before="0" w:after="0"/>
        <w:ind w:firstLine="567"/>
        <w:jc w:val="both"/>
        <w:rPr>
          <w:lang w:val="lt-LT"/>
        </w:rPr>
      </w:pPr>
      <w:r>
        <w:rPr>
          <w:rFonts w:eastAsia="Times New Roman" w:cs="Calibri"/>
          <w:color w:val="000000"/>
          <w:lang w:val="lt-LT"/>
        </w:rPr>
        <w:t>12.5. Pakeitimas įforminamas protokolu, nurodant darbų pavadinimus, vienetus, kiekius, techninius sprendinius (pvz.: brėžinius ir kita), įkainių / kainų nustatymo pagrindimą ir skaičiavimą (vadovaujantis Sutarties 2.7.1 papunkčiu) ir papildomu susitarimu. Toks protokolas ir susitarimas turi būti patvirtinti ir pasirašyti Šalių ir laikomi sudėtine Sutarties dalimi.</w:t>
      </w:r>
    </w:p>
    <w:p>
      <w:pPr>
        <w:pStyle w:val="Standard"/>
        <w:suppressAutoHyphens w:val="false"/>
        <w:spacing w:lineRule="auto" w:line="240" w:before="0" w:after="0"/>
        <w:ind w:firstLine="567"/>
        <w:jc w:val="both"/>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lang w:val="lt-LT"/>
        </w:rPr>
        <w:t>XIII. SUTARTIES ESMINIS PAŽEIDIMAS IR NUTRAUKIMAS</w:t>
      </w:r>
    </w:p>
    <w:p>
      <w:pPr>
        <w:pStyle w:val="Standard"/>
        <w:suppressAutoHyphens w:val="false"/>
        <w:spacing w:lineRule="auto" w:line="240" w:before="0" w:after="0"/>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lang w:val="lt-LT"/>
        </w:rPr>
        <w:t>13.1. Užsakovas privalo bet kuriuo šiame punkte išvardintu atveju, prieš 15 dienų apie tai pranešęs Rangovui, nutraukti Sutartį dėl šių esminių Sutarties pažeidimų:</w:t>
      </w:r>
    </w:p>
    <w:p>
      <w:pPr>
        <w:pStyle w:val="Standard"/>
        <w:suppressAutoHyphens w:val="false"/>
        <w:spacing w:lineRule="auto" w:line="240" w:before="0" w:after="0"/>
        <w:ind w:firstLine="567"/>
        <w:jc w:val="both"/>
        <w:rPr>
          <w:lang w:val="lt-LT"/>
        </w:rPr>
      </w:pPr>
      <w:r>
        <w:rPr>
          <w:rFonts w:eastAsia="Times New Roman" w:cs="Calibri"/>
          <w:color w:val="000000"/>
          <w:lang w:val="lt-LT"/>
        </w:rPr>
        <w:t xml:space="preserve">13.1.1. Rangovas </w:t>
      </w:r>
      <w:r>
        <w:rPr>
          <w:rFonts w:eastAsia="Times New Roman" w:cs="Calibri"/>
          <w:lang w:val="lt-LT"/>
        </w:rPr>
        <w:t>Darbus atlieka taip lėtai, kad juos baigti iki termino pabaigos pasidaro aiškiai neįmanoma;</w:t>
      </w:r>
    </w:p>
    <w:p>
      <w:pPr>
        <w:pStyle w:val="Standard"/>
        <w:suppressAutoHyphens w:val="false"/>
        <w:spacing w:lineRule="auto" w:line="240" w:before="0" w:after="0"/>
        <w:ind w:firstLine="567"/>
        <w:jc w:val="both"/>
        <w:rPr>
          <w:lang w:val="lt-LT"/>
        </w:rPr>
      </w:pPr>
      <w:r>
        <w:rPr>
          <w:rFonts w:eastAsia="Times New Roman" w:cs="Calibri"/>
          <w:lang w:val="lt-LT"/>
        </w:rPr>
        <w:t xml:space="preserve">13.1.3 Rangovas ilgiau kaip 30 kalendorinių dienų objekte nevykdo jokių statybos darbų, išskyrus atvejus, kai Rangovas pateikia pagrįstą priežastį </w:t>
      </w:r>
      <w:r>
        <w:rPr>
          <w:rFonts w:eastAsia="Times New Roman" w:cs="Calibri"/>
          <w:shd w:fill="auto" w:val="clear"/>
          <w:lang w:val="lt-LT"/>
        </w:rPr>
        <w:t xml:space="preserve">arba ilgiau nei 60 kalendorinių dienų vėluoja </w:t>
      </w:r>
      <w:r>
        <w:rPr>
          <w:rFonts w:eastAsia="Times New Roman" w:cs="Calibri"/>
          <w:color w:val="000000"/>
          <w:shd w:fill="auto" w:val="clear"/>
          <w:lang w:val="lt-LT"/>
        </w:rPr>
        <w:t>atlikti Darbus Sutartyje numatytais terminais;</w:t>
      </w:r>
    </w:p>
    <w:p>
      <w:pPr>
        <w:pStyle w:val="Standard"/>
        <w:suppressAutoHyphens w:val="false"/>
        <w:spacing w:lineRule="auto" w:line="240" w:before="0" w:after="0"/>
        <w:ind w:firstLine="567"/>
        <w:jc w:val="both"/>
        <w:rPr>
          <w:lang w:val="lt-LT"/>
        </w:rPr>
      </w:pPr>
      <w:r>
        <w:rPr>
          <w:rFonts w:eastAsia="Times New Roman" w:cs="Calibri"/>
          <w:lang w:val="lt-LT"/>
        </w:rPr>
        <w:t>13.1.3</w:t>
      </w:r>
      <w:r>
        <w:rPr>
          <w:rFonts w:eastAsia="Times New Roman" w:cs="Calibri"/>
          <w:color w:val="000000"/>
          <w:lang w:val="lt-LT"/>
        </w:rPr>
        <w:t>. Rangovas vilkina darbus arba juos atlieka su trūkumais (defektais), o per nurodytą protingą terminą jų neištaiso.</w:t>
      </w:r>
    </w:p>
    <w:p>
      <w:pPr>
        <w:pStyle w:val="Standard"/>
        <w:suppressAutoHyphens w:val="false"/>
        <w:spacing w:lineRule="auto" w:line="240" w:before="0" w:after="0"/>
        <w:ind w:firstLine="567"/>
        <w:jc w:val="both"/>
        <w:rPr>
          <w:lang w:val="lt-LT"/>
        </w:rPr>
      </w:pPr>
      <w:r>
        <w:rPr>
          <w:rFonts w:eastAsia="Times New Roman" w:cs="Calibri"/>
          <w:color w:val="000000"/>
          <w:lang w:val="lt-LT"/>
        </w:rPr>
        <w:t>13.1.4. Rangovas nepateikia Užsakovo prašomos informacijos susijusios su statybos darbais ir statybos užbaigimo procedūrų vykdymu.</w:t>
      </w:r>
    </w:p>
    <w:p>
      <w:pPr>
        <w:pStyle w:val="Standard"/>
        <w:suppressAutoHyphens w:val="false"/>
        <w:spacing w:lineRule="auto" w:line="240" w:before="0" w:after="0"/>
        <w:ind w:firstLine="567"/>
        <w:jc w:val="both"/>
        <w:rPr>
          <w:lang w:val="lt-LT"/>
        </w:rPr>
      </w:pPr>
      <w:r>
        <w:rPr>
          <w:rFonts w:eastAsia="Times New Roman" w:cs="Calibri"/>
          <w:lang w:val="lt-LT"/>
        </w:rPr>
        <w:t>13.1.5. Darbų atlikimo metu pasidaro aišku, kad jie nebus tinkami atlikti;</w:t>
      </w:r>
    </w:p>
    <w:p>
      <w:pPr>
        <w:pStyle w:val="Standard"/>
        <w:suppressAutoHyphens w:val="false"/>
        <w:spacing w:lineRule="auto" w:line="240" w:before="0" w:after="0"/>
        <w:ind w:firstLine="567"/>
        <w:jc w:val="both"/>
        <w:rPr>
          <w:lang w:val="lt-LT"/>
        </w:rPr>
      </w:pPr>
      <w:r>
        <w:rPr>
          <w:rFonts w:eastAsia="Times New Roman" w:cs="Calibri"/>
          <w:lang w:val="lt-LT"/>
        </w:rPr>
        <w:t>13.1.6. Rangovas per pagrįstai nustatytą laikotarpį neįvykdo Užsakovo nurodymo ištaisyti netinkamai įvykdytus arba neįvykdytus sutartinius įsipareigojimus;</w:t>
      </w:r>
    </w:p>
    <w:p>
      <w:pPr>
        <w:pStyle w:val="Standard"/>
        <w:suppressAutoHyphens w:val="false"/>
        <w:spacing w:lineRule="auto" w:line="240" w:before="0" w:after="0"/>
        <w:ind w:firstLine="567"/>
        <w:jc w:val="both"/>
        <w:rPr>
          <w:lang w:val="lt-LT"/>
        </w:rPr>
      </w:pPr>
      <w:r>
        <w:rPr>
          <w:rFonts w:eastAsia="Times New Roman" w:cs="Calibri"/>
          <w:lang w:val="lt-LT"/>
        </w:rPr>
        <w:t>13.1.7.</w:t>
      </w:r>
      <w:r>
        <w:rPr>
          <w:rFonts w:eastAsia="Times New Roman" w:cs="Calibri"/>
          <w:b/>
          <w:bCs/>
          <w:lang w:val="lt-LT"/>
        </w:rPr>
        <w:t xml:space="preserve"> </w:t>
      </w:r>
      <w:r>
        <w:rPr>
          <w:rFonts w:eastAsia="Times New Roman" w:cs="Calibri"/>
          <w:lang w:val="lt-LT"/>
        </w:rPr>
        <w:t>Rangovas netenka teisės atlikti šioje Sutartyje nurodytus Darbus, bankrutuoja arba yra likviduojamas, kai sustabdo ūkinę veiklą, arba kai įstatymuose ir kituose teisės aktuose numatyta tvarka susidaro analogiška situacija;</w:t>
      </w:r>
    </w:p>
    <w:p>
      <w:pPr>
        <w:pStyle w:val="Standard"/>
        <w:suppressAutoHyphens w:val="false"/>
        <w:spacing w:lineRule="auto" w:line="240" w:before="0" w:after="0"/>
        <w:ind w:firstLine="567"/>
        <w:jc w:val="both"/>
        <w:rPr>
          <w:lang w:val="lt-LT"/>
        </w:rPr>
      </w:pPr>
      <w:r>
        <w:rPr>
          <w:rFonts w:eastAsia="Times New Roman" w:cs="Calibri"/>
          <w:lang w:val="lt-LT"/>
        </w:rPr>
        <w:t>13.1.8. po raštiško Užsakovo įspėjimo Rangovas neužtikrina Darbų kokybės ar nevykdo kitų šios Sutarties sąlygų arba raštiškai perspėtas dar kartą jas pažeidžia;</w:t>
      </w:r>
    </w:p>
    <w:p>
      <w:pPr>
        <w:pStyle w:val="Standard"/>
        <w:suppressAutoHyphens w:val="false"/>
        <w:spacing w:lineRule="auto" w:line="240" w:before="0" w:after="0"/>
        <w:ind w:firstLine="567"/>
        <w:jc w:val="both"/>
        <w:rPr>
          <w:lang w:val="lt-LT"/>
        </w:rPr>
      </w:pPr>
      <w:r>
        <w:rPr>
          <w:rFonts w:eastAsia="Times New Roman" w:cs="Calibri"/>
          <w:lang w:val="lt-LT"/>
        </w:rPr>
        <w:t>13.2.</w:t>
      </w:r>
      <w:r>
        <w:rPr>
          <w:rFonts w:eastAsia="Times New Roman" w:cs="Calibri"/>
          <w:b/>
          <w:bCs/>
          <w:lang w:val="lt-LT"/>
        </w:rPr>
        <w:t xml:space="preserve"> </w:t>
      </w:r>
      <w:r>
        <w:rPr>
          <w:rFonts w:eastAsia="Times New Roman" w:cs="Calibri"/>
          <w:lang w:val="lt-LT"/>
        </w:rPr>
        <w:t>Užsakovui vienašališkai nutraukus Sutartį Rangovas</w:t>
      </w:r>
      <w:r>
        <w:rPr>
          <w:rFonts w:eastAsia="Times New Roman" w:cs="Calibri"/>
          <w:caps/>
          <w:lang w:val="lt-LT"/>
        </w:rPr>
        <w:t xml:space="preserve"> </w:t>
      </w:r>
      <w:r>
        <w:rPr>
          <w:rFonts w:eastAsia="Times New Roman" w:cs="Calibri"/>
          <w:lang w:val="lt-LT"/>
        </w:rPr>
        <w:t>privalo perduoti iki Sutarties nutraukimo datos atliktus Darbus, Šalims pasirašant priėmimo–perdavimo aktą. Užsakovas privalo apmokėti už atliktus Darbus.</w:t>
      </w:r>
    </w:p>
    <w:p>
      <w:pPr>
        <w:pStyle w:val="Standard"/>
        <w:suppressAutoHyphens w:val="false"/>
        <w:spacing w:lineRule="auto" w:line="240" w:before="0" w:after="0"/>
        <w:ind w:firstLine="567"/>
        <w:jc w:val="both"/>
        <w:rPr>
          <w:lang w:val="lt-LT"/>
        </w:rPr>
      </w:pPr>
      <w:r>
        <w:rPr>
          <w:rFonts w:eastAsia="Times New Roman" w:cs="Calibri"/>
          <w:lang w:val="lt-LT"/>
        </w:rPr>
        <w:t>13.3. Rangovas gali prieš 15 darbo dienų raštu pranešęs Užsakovui nutraukti Sutartį, tik tuo atveju, jeigu Užsakovas visiškai nevykdo savo įsipareigojimų įvardintų Sutarties 5.1. ir 9.1 punktuose.</w:t>
      </w:r>
    </w:p>
    <w:p>
      <w:pPr>
        <w:pStyle w:val="Standard"/>
        <w:suppressAutoHyphens w:val="false"/>
        <w:spacing w:lineRule="auto" w:line="240" w:before="0" w:after="0"/>
        <w:ind w:firstLine="567"/>
        <w:jc w:val="both"/>
        <w:rPr>
          <w:lang w:val="lt-LT"/>
        </w:rPr>
      </w:pPr>
      <w:r>
        <w:rPr>
          <w:rFonts w:eastAsia="Times New Roman" w:cs="Calibri"/>
          <w:lang w:val="lt-LT"/>
        </w:rPr>
        <w:t>13.4. Rangovo pasirinkimas nutraukti Sutartį neturi pažeisti kurių nors kitų iš Sutarties arba kitaip kylančių Rangovo teisių.</w:t>
      </w:r>
    </w:p>
    <w:p>
      <w:pPr>
        <w:pStyle w:val="Standard"/>
        <w:suppressAutoHyphens w:val="false"/>
        <w:spacing w:lineRule="auto" w:line="240" w:before="0" w:after="0"/>
        <w:ind w:firstLine="567"/>
        <w:jc w:val="both"/>
        <w:rPr>
          <w:lang w:val="lt-LT"/>
        </w:rPr>
      </w:pPr>
      <w:r>
        <w:rPr>
          <w:rFonts w:eastAsia="Times New Roman" w:cs="Calibri"/>
          <w:lang w:val="lt-LT"/>
        </w:rPr>
        <w:t>13.5. Užsakovas turi teisę Lietuvos Respublikos viešųjų pirkimų įstatymo 90 straipsnyje nurodytais atvejais ir tvarka vienašališkai nutraukti Sutartį apie tai Rangovui pranešdamas raštu.</w:t>
      </w:r>
    </w:p>
    <w:p>
      <w:pPr>
        <w:pStyle w:val="Standard"/>
        <w:suppressAutoHyphens w:val="false"/>
        <w:spacing w:lineRule="auto" w:line="240" w:before="0" w:after="0"/>
        <w:ind w:firstLine="567"/>
        <w:jc w:val="both"/>
        <w:rPr>
          <w:lang w:val="lt-LT"/>
        </w:rPr>
      </w:pPr>
      <w:r>
        <w:rPr>
          <w:rFonts w:eastAsia="Times New Roman" w:cs="Calibri"/>
          <w:lang w:val="lt-LT"/>
        </w:rPr>
        <w:t>13.6. Sutartis gali būti nutraukta bendru Šalių sutarimu.</w:t>
      </w:r>
    </w:p>
    <w:p>
      <w:pPr>
        <w:pStyle w:val="Standard"/>
        <w:suppressAutoHyphens w:val="false"/>
        <w:spacing w:lineRule="auto" w:line="240" w:before="0" w:after="0"/>
        <w:ind w:firstLine="567"/>
        <w:jc w:val="both"/>
        <w:rPr>
          <w:lang w:val="lt-LT"/>
        </w:rPr>
      </w:pPr>
      <w:r>
        <w:rPr>
          <w:rFonts w:eastAsia="Times New Roman" w:cs="Calibri"/>
          <w:lang w:val="lt-LT"/>
        </w:rPr>
        <w:t>13.7.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pagal jų pobūdį.</w:t>
      </w:r>
    </w:p>
    <w:p>
      <w:pPr>
        <w:pStyle w:val="Standard"/>
        <w:suppressAutoHyphens w:val="false"/>
        <w:spacing w:lineRule="auto" w:line="240" w:before="0" w:after="0"/>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lang w:val="lt-LT"/>
        </w:rPr>
        <w:t>XIV. SUBRANGOVAI IR SUBRANGOVŲ KEITIMO TVARKA</w:t>
      </w:r>
    </w:p>
    <w:p>
      <w:pPr>
        <w:pStyle w:val="Standard"/>
        <w:suppressAutoHyphens w:val="false"/>
        <w:spacing w:lineRule="auto" w:line="240" w:before="0" w:after="0"/>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lang w:val="lt-LT"/>
        </w:rPr>
        <w:t xml:space="preserve">XIV. SUBRANGOVAI IR KITI SUTARTIES VYKDYMUI PASITELKIAMI ASMENYS, JŲ KEITIMO TVARKA </w:t>
      </w:r>
    </w:p>
    <w:p>
      <w:pPr>
        <w:pStyle w:val="Standard"/>
        <w:suppressAutoHyphens w:val="false"/>
        <w:spacing w:lineRule="auto" w:line="240" w:before="0" w:after="0"/>
        <w:jc w:val="center"/>
        <w:rPr>
          <w:rFonts w:eastAsia="Times New Roman" w:cs="Calibri"/>
          <w:lang w:val="lt-LT"/>
        </w:rPr>
      </w:pPr>
      <w:r>
        <w:rPr>
          <w:rFonts w:eastAsia="Times New Roman" w:cs="Calibri"/>
          <w:lang w:val="lt-LT"/>
        </w:rPr>
      </w:r>
    </w:p>
    <w:p>
      <w:pPr>
        <w:pStyle w:val="Standard"/>
        <w:suppressAutoHyphens w:val="false"/>
        <w:spacing w:lineRule="auto" w:line="240" w:before="0" w:after="0"/>
        <w:ind w:firstLine="533"/>
        <w:jc w:val="both"/>
        <w:rPr>
          <w:lang w:val="lt-LT"/>
        </w:rPr>
      </w:pPr>
      <w:r>
        <w:rPr>
          <w:rFonts w:eastAsia="Times New Roman" w:cs="Calibri"/>
          <w:lang w:val="lt-LT"/>
        </w:rPr>
        <w:t xml:space="preserve">14.1. Rangovas įsipareigoja užtikrinti, kad Sutartį vykdys pirkime pasiūlyti ir kvalifikacijos bei kitus pirkimo dokumentuose nustatytus reikalavimus atitinkantys subrangovai ir (ar) specialistai. Šių asmenų veiksmai vykdant Sutartį Rangovui sukelia tokias pačias pasekmes ir atsakomybę, kaip jo paties veiksmai. Rangovas atsako už savo subrangovų ir specialistų veiksmus ar neveikimą. </w:t>
      </w:r>
    </w:p>
    <w:p>
      <w:pPr>
        <w:pStyle w:val="Standard"/>
        <w:suppressAutoHyphens w:val="false"/>
        <w:spacing w:lineRule="auto" w:line="240" w:before="0" w:after="0"/>
        <w:ind w:firstLine="533"/>
        <w:jc w:val="both"/>
        <w:rPr>
          <w:lang w:val="lt-LT"/>
        </w:rPr>
      </w:pPr>
      <w:r>
        <w:rPr>
          <w:rFonts w:eastAsia="Times New Roman" w:cs="Calibri"/>
          <w:lang w:val="lt-LT"/>
        </w:rPr>
        <w:t xml:space="preserve">14.2. Sutarties vykdymo metu Rangovas raštu kreipęsis į Užsakovą ir gavęs raštišką jo sutikimą, gali keisti ar įtraukti naujus subrangovus ir (ar) specialistus, atsakingus už Sutarties vykdymą, papildant šios </w:t>
      </w:r>
      <w:r>
        <w:rPr>
          <w:rFonts w:eastAsia="Times New Roman" w:cs="Calibri"/>
          <w:shd w:fill="auto" w:val="clear"/>
          <w:lang w:val="lt-LT"/>
        </w:rPr>
        <w:t>Sutarties 14.11 punktą. Keičiamų ar naujai įtraukiamų subrangovų ir (ar) specialistų kvalifikacija turi atitikti pirki</w:t>
      </w:r>
      <w:r>
        <w:rPr>
          <w:rFonts w:eastAsia="Times New Roman" w:cs="Calibri"/>
          <w:lang w:val="lt-LT"/>
        </w:rPr>
        <w:t>mo sąlygose subrangovams ir (ar) specialistams keltus kvalifikacijos reikalavimus</w:t>
      </w:r>
      <w:r>
        <w:rPr>
          <w:rFonts w:eastAsia="Times New Roman" w:cs="Calibri"/>
          <w:lang w:val="en-US"/>
        </w:rPr>
        <w:t xml:space="preserve"> ir </w:t>
      </w:r>
      <w:r>
        <w:rPr>
          <w:rFonts w:eastAsia="Times New Roman" w:cs="Calibri"/>
          <w:lang w:val="lt-LT"/>
        </w:rPr>
        <w:t xml:space="preserve">tai dienai kai Rangovas kreipėsi į Užsakovą dėl leidimo keisti ar įtraukti naują subrangovą ir (ar) specialistą. </w:t>
      </w:r>
    </w:p>
    <w:p>
      <w:pPr>
        <w:pStyle w:val="Standard"/>
        <w:suppressAutoHyphens w:val="false"/>
        <w:spacing w:lineRule="auto" w:line="240" w:before="0" w:after="0"/>
        <w:ind w:firstLine="533"/>
        <w:jc w:val="both"/>
        <w:rPr/>
      </w:pPr>
      <w:r>
        <w:rPr>
          <w:rFonts w:eastAsia="Times New Roman" w:cs="Calibri"/>
          <w:lang w:val="lt-LT"/>
        </w:rPr>
        <w:t xml:space="preserve">14.3. Subrangovus Rangovas gali keisti savo nuožiūra, apie tai raštu ne vėliau, kaip prieš 5 (penkias) darbo dienas informuodamas Užsakovą. </w:t>
      </w:r>
      <w:r>
        <w:rPr>
          <w:rFonts w:eastAsia="Times New Roman" w:cs="Calibri"/>
        </w:rPr>
        <w:t xml:space="preserve"> </w:t>
      </w:r>
      <w:r>
        <w:rPr>
          <w:rFonts w:eastAsia="Times New Roman" w:cs="Calibri"/>
          <w:lang w:val="en-US"/>
        </w:rPr>
        <w:t>K</w:t>
      </w:r>
      <w:r>
        <w:rPr/>
        <w:t>eičiami subrangovai turi atitikti kvalifikacijos reikalavim</w:t>
      </w:r>
      <w:r>
        <w:rPr>
          <w:b w:val="false"/>
          <w:bCs w:val="false"/>
        </w:rPr>
        <w:t xml:space="preserve">us ir </w:t>
      </w:r>
      <w:r>
        <w:rPr>
          <w:rFonts w:eastAsia="Times New Roman" w:cs="Calibri"/>
          <w:b w:val="false"/>
          <w:bCs w:val="false"/>
          <w:shd w:fill="auto" w:val="clear"/>
          <w:lang w:val="en-US"/>
        </w:rPr>
        <w:t>neturėti pašalinimo pagrindų nustatytų pirkimo dokumentuose</w:t>
      </w:r>
      <w:r>
        <w:rPr>
          <w:rFonts w:eastAsia="Times New Roman" w:cs="Calibri"/>
          <w:b/>
          <w:shd w:fill="auto" w:val="clear"/>
          <w:lang w:val="en-US"/>
        </w:rPr>
        <w:t xml:space="preserve">. </w:t>
      </w:r>
      <w:r>
        <w:rPr>
          <w:rFonts w:eastAsia="Times New Roman" w:cs="Calibri"/>
          <w:lang w:val="lt-LT"/>
        </w:rPr>
        <w:t>Užsakovas per 5 (penkias) darbo dienas raštu informuoja Rangovą apie leidimą pakeisti subrangovą. Užsakovui sutikus, Šalys pasirašo Susitarimą, kuris laikomas neatsiejama Sutarties dalimi.</w:t>
      </w:r>
    </w:p>
    <w:p>
      <w:pPr>
        <w:pStyle w:val="Standard"/>
        <w:suppressAutoHyphens w:val="false"/>
        <w:spacing w:lineRule="auto" w:line="240" w:before="0" w:after="0"/>
        <w:ind w:firstLine="533"/>
        <w:jc w:val="both"/>
        <w:rPr>
          <w:lang w:val="lt-LT"/>
        </w:rPr>
      </w:pPr>
      <w:r>
        <w:rPr>
          <w:rFonts w:eastAsia="Times New Roman" w:cs="Calibri"/>
          <w:lang w:val="lt-LT"/>
        </w:rPr>
        <w:t xml:space="preserve">14.4. Ūkio subjektas, kurio pajėgumais Rangovas rėmėsi, kad atitiktų pirkimo dokumentuose nustatytus kvalifikacijos reikalavimus, gali būti keičiamas tik šiais atvejais: </w:t>
      </w:r>
    </w:p>
    <w:p>
      <w:pPr>
        <w:pStyle w:val="Standard"/>
        <w:suppressAutoHyphens w:val="false"/>
        <w:spacing w:lineRule="auto" w:line="240" w:before="0" w:after="0"/>
        <w:ind w:firstLine="533"/>
        <w:jc w:val="both"/>
        <w:rPr>
          <w:lang w:val="lt-LT"/>
        </w:rPr>
      </w:pPr>
      <w:r>
        <w:rPr>
          <w:rFonts w:eastAsia="Times New Roman" w:cs="Calibri"/>
          <w:lang w:val="lt-LT"/>
        </w:rPr>
        <w:t xml:space="preserve">14.4.1.  kai ūkio subjektui iškelta bankroto byla, pradėtas bankroto procesas ne teismo tvarka, jis tampa nemokus arba yra nemokumo tikimybė, sustabdo ūkinę veiklą ar kai įstatymuose ir kituose teisės aktuose nustatyta tvarka susidaro analogiška situacija; </w:t>
      </w:r>
    </w:p>
    <w:p>
      <w:pPr>
        <w:pStyle w:val="Standard"/>
        <w:suppressAutoHyphens w:val="false"/>
        <w:spacing w:lineRule="auto" w:line="240" w:before="0" w:after="0"/>
        <w:ind w:firstLine="533"/>
        <w:jc w:val="both"/>
        <w:rPr>
          <w:lang w:val="lt-LT"/>
        </w:rPr>
      </w:pPr>
      <w:r>
        <w:rPr>
          <w:rFonts w:eastAsia="Times New Roman" w:cs="Calibri"/>
          <w:lang w:val="lt-LT"/>
        </w:rPr>
        <w:t>14.4.2. kai ūkio subjektas dėl objektyvių priežasčių (pavyzdžiui, ūkio subjektui atsisakius dalyvauti Sutarties vykdyme, nutrūkus teisiniams santykiams su Rangovu ir pan.) nebegali vykdyti visų ar dalies Sutartyje numatytų įsipareigojimų.</w:t>
      </w:r>
    </w:p>
    <w:p>
      <w:pPr>
        <w:pStyle w:val="Standard"/>
        <w:suppressAutoHyphens w:val="false"/>
        <w:spacing w:lineRule="auto" w:line="240" w:before="0" w:after="0"/>
        <w:ind w:firstLine="533"/>
        <w:jc w:val="both"/>
        <w:rPr>
          <w:lang w:val="lt-LT"/>
        </w:rPr>
      </w:pPr>
      <w:r>
        <w:rPr>
          <w:rFonts w:eastAsia="Times New Roman" w:cs="Calibri"/>
          <w:lang w:val="lt-LT"/>
        </w:rPr>
        <w:t>14.4.3. keičiamas ūkio subjektas, kurio pajėgumais Rangovas rėmėsi, kad atitiktų pirkimo dokumentuose nustatytus kvalifikacijos reikalavimus, turi atitikti pirkimo dokumentuose nustatytus reikalavimus dėl pašalinimo pagrindų nebuvimo, keliamus kvalifikacijos reikalavimus.</w:t>
      </w:r>
    </w:p>
    <w:p>
      <w:pPr>
        <w:pStyle w:val="Standard"/>
        <w:suppressAutoHyphens w:val="false"/>
        <w:spacing w:lineRule="auto" w:line="240" w:before="0" w:after="0"/>
        <w:ind w:firstLine="533"/>
        <w:jc w:val="both"/>
        <w:rPr>
          <w:lang w:val="lt-LT"/>
        </w:rPr>
      </w:pPr>
      <w:r>
        <w:rPr>
          <w:rFonts w:eastAsia="Times New Roman" w:cs="Calibri"/>
          <w:lang w:val="lt-LT"/>
        </w:rPr>
        <w:t xml:space="preserve">14.5. Rangovo (ar subrangovų) specialistas, vykdysiantis Sutartį, gali būti pakeisti šiais atvejais: </w:t>
      </w:r>
    </w:p>
    <w:p>
      <w:pPr>
        <w:pStyle w:val="Standard"/>
        <w:suppressAutoHyphens w:val="false"/>
        <w:spacing w:lineRule="auto" w:line="240" w:before="0" w:after="0"/>
        <w:ind w:firstLine="533"/>
        <w:jc w:val="both"/>
        <w:rPr>
          <w:lang w:val="lt-LT"/>
        </w:rPr>
      </w:pPr>
      <w:r>
        <w:rPr>
          <w:rFonts w:eastAsia="Times New Roman" w:cs="Calibri"/>
          <w:lang w:val="lt-LT"/>
        </w:rPr>
        <w:t>14.5.1.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pStyle w:val="Standard"/>
        <w:suppressAutoHyphens w:val="false"/>
        <w:spacing w:lineRule="auto" w:line="240" w:before="0" w:after="0"/>
        <w:ind w:firstLine="533"/>
        <w:jc w:val="both"/>
        <w:rPr>
          <w:lang w:val="lt-LT"/>
        </w:rPr>
      </w:pPr>
      <w:r>
        <w:rPr>
          <w:rFonts w:eastAsia="Times New Roman" w:cs="Calibri"/>
          <w:lang w:val="lt-LT"/>
        </w:rPr>
        <w:t xml:space="preserve">14.5.2. Užsakovo iniciatyva, jei Užsakovas turi pagrįstų įtarimų, kad Rangovo Sutarties vykdymui paskirtas specialistas nekompetentingas vykdyti nustatytas pareigas. </w:t>
      </w:r>
    </w:p>
    <w:p>
      <w:pPr>
        <w:pStyle w:val="Standard"/>
        <w:suppressAutoHyphens w:val="false"/>
        <w:spacing w:lineRule="auto" w:line="240" w:before="0" w:after="0"/>
        <w:ind w:firstLine="533"/>
        <w:jc w:val="both"/>
        <w:rPr/>
      </w:pPr>
      <w:r>
        <w:rPr>
          <w:rFonts w:eastAsia="Times New Roman" w:cs="Calibri"/>
          <w:lang w:val="lt-LT"/>
        </w:rPr>
        <w:t>14.5.3. Naujas specialistas turi turėti ne žemesnę nei pirkimo dokumentuose specialistui keliamą kvalifikacij</w:t>
      </w:r>
      <w:r>
        <w:rPr>
          <w:rFonts w:eastAsia="Times New Roman" w:cs="Calibri"/>
          <w:shd w:fill="auto" w:val="clear"/>
          <w:lang w:val="en-US"/>
        </w:rPr>
        <w:t xml:space="preserve">ą ir </w:t>
      </w:r>
      <w:r>
        <w:rPr>
          <w:shd w:fill="auto" w:val="clear"/>
        </w:rPr>
        <w:t xml:space="preserve">ne žemesnės kvalifikacijos nei, kad </w:t>
      </w:r>
      <w:r>
        <w:rPr>
          <w:shd w:fill="auto" w:val="clear"/>
          <w:lang w:val="en-US"/>
        </w:rPr>
        <w:t>Rangovas buvo</w:t>
      </w:r>
      <w:r>
        <w:rPr>
          <w:shd w:fill="auto" w:val="clear"/>
        </w:rPr>
        <w:t xml:space="preserve"> nurod</w:t>
      </w:r>
      <w:r>
        <w:rPr>
          <w:shd w:fill="auto" w:val="clear"/>
          <w:lang w:val="en-US"/>
        </w:rPr>
        <w:t>ę</w:t>
      </w:r>
      <w:r>
        <w:rPr>
          <w:shd w:fill="auto" w:val="clear"/>
        </w:rPr>
        <w:t xml:space="preserve"> savo pasiūlyme.</w:t>
      </w:r>
    </w:p>
    <w:p>
      <w:pPr>
        <w:pStyle w:val="Standard"/>
        <w:suppressAutoHyphens w:val="false"/>
        <w:spacing w:lineRule="auto" w:line="240" w:before="0" w:after="0"/>
        <w:ind w:firstLine="533"/>
        <w:jc w:val="both"/>
        <w:rPr/>
      </w:pPr>
      <w:r>
        <w:rPr>
          <w:rFonts w:eastAsia="Times New Roman" w:cs="Calibri"/>
          <w:lang w:val="lt-LT"/>
        </w:rPr>
        <w:t>14.6. Rangovas privalo ne vėliau nei prieš 5 (penkias) darbo dienas iki numatomo ūkio subjekto, kurio pajėgumais Rangovas rėmėsi, kad atitiktų pirkimo dokumentuose nustatytus kvalifikacijos reikalavimus, ar specialisto keitimo pateikti Užsakovui argumentuotą rašytinį prašymą ir šiuos dokumentus:</w:t>
      </w:r>
    </w:p>
    <w:p>
      <w:pPr>
        <w:pStyle w:val="Standard"/>
        <w:suppressAutoHyphens w:val="false"/>
        <w:spacing w:lineRule="auto" w:line="240" w:before="0" w:after="0"/>
        <w:ind w:firstLine="533"/>
        <w:jc w:val="both"/>
        <w:rPr>
          <w:lang w:val="lt-LT"/>
        </w:rPr>
      </w:pPr>
      <w:r>
        <w:rPr>
          <w:rFonts w:eastAsia="Times New Roman" w:cs="Calibri"/>
          <w:lang w:val="lt-LT"/>
        </w:rPr>
        <w:t>14.6.1. prašymą pakeisti subrangovą ar specialistą, paaiškinant keitimo aplinkybę. Užsakovas pasilieka teisę paprašyti įrodymų, pagrindžiančių keitimo aplinkybę;</w:t>
      </w:r>
    </w:p>
    <w:p>
      <w:pPr>
        <w:pStyle w:val="Standard"/>
        <w:suppressAutoHyphens w:val="false"/>
        <w:spacing w:lineRule="auto" w:line="240" w:before="0" w:after="0"/>
        <w:ind w:firstLine="533"/>
        <w:jc w:val="both"/>
        <w:rPr>
          <w:lang w:val="lt-LT"/>
        </w:rPr>
      </w:pPr>
      <w:r>
        <w:rPr>
          <w:rFonts w:eastAsia="Times New Roman" w:cs="Calibri"/>
          <w:lang w:val="lt-LT"/>
        </w:rPr>
        <w:t>14.6</w:t>
      </w:r>
      <w:r>
        <w:rPr>
          <w:rFonts w:eastAsia="Times New Roman" w:cs="Calibri"/>
          <w:shd w:fill="auto" w:val="clear"/>
          <w:lang w:val="lt-LT"/>
        </w:rPr>
        <w:t>.2. naujo subrangovo ar specialisto kvalifikaciją, pašalinimo pagrindų nebuvimą įrodančius dokumentus pagal Sutarties reikalavimus.</w:t>
      </w:r>
    </w:p>
    <w:p>
      <w:pPr>
        <w:pStyle w:val="Standard"/>
        <w:suppressAutoHyphens w:val="false"/>
        <w:spacing w:lineRule="auto" w:line="240" w:before="0" w:after="0"/>
        <w:ind w:firstLine="533"/>
        <w:jc w:val="both"/>
        <w:rPr>
          <w:lang w:val="lt-LT"/>
        </w:rPr>
      </w:pPr>
      <w:r>
        <w:rPr>
          <w:rFonts w:eastAsia="Times New Roman" w:cs="Calibri"/>
          <w:lang w:val="lt-LT"/>
        </w:rPr>
        <w:t xml:space="preserve">14.7. Užsakovas, gavęs Rangovo prašymą su kitais Sutartyje nurodytais dokumentais, per 5 (penkias) darbo dienas įvertina keitimo galimybes ir raštu informuoja Rangovą apie leidimą pakeisti subrangovą ar specialistą. Užsakovui sutikus, Šalys pasirašo Susitarimą, kuris laikomas neatsiejama Sutarties dalimi. </w:t>
      </w:r>
    </w:p>
    <w:p>
      <w:pPr>
        <w:pStyle w:val="Standard"/>
        <w:suppressAutoHyphens w:val="false"/>
        <w:spacing w:lineRule="auto" w:line="240" w:before="0" w:after="0"/>
        <w:ind w:firstLine="533"/>
        <w:jc w:val="both"/>
        <w:rPr>
          <w:lang w:val="lt-LT"/>
        </w:rPr>
      </w:pPr>
      <w:r>
        <w:rPr>
          <w:rFonts w:eastAsia="Times New Roman" w:cs="Calibri"/>
          <w:lang w:val="lt-LT"/>
        </w:rPr>
        <w:t>14.8. Naujas subrangovas ar specialistas gali pradėti vykdyti jiems Rangovo pavestus įsipareigojimus pagal Sutartį ne anksčiau, nei bus pasirašytas Susitarimas.</w:t>
      </w:r>
    </w:p>
    <w:p>
      <w:pPr>
        <w:pStyle w:val="Standard"/>
        <w:suppressAutoHyphens w:val="false"/>
        <w:spacing w:lineRule="auto" w:line="240" w:before="0" w:after="0"/>
        <w:ind w:firstLine="533"/>
        <w:jc w:val="both"/>
        <w:rPr>
          <w:lang w:val="lt-LT"/>
        </w:rPr>
      </w:pPr>
      <w:r>
        <w:rPr>
          <w:rFonts w:eastAsia="Times New Roman" w:cs="Calibri"/>
          <w:lang w:val="lt-LT"/>
        </w:rPr>
        <w:t>14.9. Rangovas privalo pakeisti subrangovą ar specialistą, jei paaiškėja, kad jis neatitinka jam pirkimo dokumentuose keliamų reikalavimų.</w:t>
      </w:r>
    </w:p>
    <w:p>
      <w:pPr>
        <w:pStyle w:val="Standard"/>
        <w:suppressAutoHyphens w:val="false"/>
        <w:spacing w:lineRule="auto" w:line="240" w:before="0" w:after="0"/>
        <w:ind w:firstLine="533"/>
        <w:jc w:val="both"/>
        <w:rPr>
          <w:lang w:val="lt-LT"/>
        </w:rPr>
      </w:pPr>
      <w:r>
        <w:rPr>
          <w:rFonts w:eastAsia="Times New Roman" w:cs="Calibri"/>
          <w:lang w:val="lt-LT"/>
        </w:rPr>
        <w:t xml:space="preserve">14.10. Jei Rangovas pakeičia esamą arba pasitelkia naują subrangovą ar specialistą, negavęs Užsakovo raštiško sutikimo, arba sutartinius įsipareigojimus pagal Sutartį vykdo subrangovai ar specialistai, neatitinkantys pirkimo dokumentuose nustatytų kvalifikacijos reikalavimų, reikalavimų dėl pašalinimo pagrindų nebuvimo ir Rangovui taikoma </w:t>
      </w:r>
      <w:r>
        <w:rPr>
          <w:rFonts w:eastAsia="Times New Roman" w:cs="Calibri"/>
          <w:shd w:fill="auto" w:val="clear"/>
          <w:lang w:val="lt-LT"/>
        </w:rPr>
        <w:t>Specialiosiose sąlygose nustatyto dydžio bauda.</w:t>
      </w:r>
    </w:p>
    <w:p>
      <w:pPr>
        <w:pStyle w:val="Standard"/>
        <w:suppressAutoHyphens w:val="false"/>
        <w:spacing w:lineRule="auto" w:line="240" w:before="0" w:after="0"/>
        <w:ind w:firstLine="533"/>
        <w:jc w:val="both"/>
        <w:rPr>
          <w:lang w:val="lt-LT"/>
        </w:rPr>
      </w:pPr>
      <w:r>
        <w:rPr>
          <w:rFonts w:eastAsia="Times New Roman" w:cs="Calibri"/>
          <w:lang w:val="lt-LT"/>
        </w:rPr>
        <w:t>14.11. Rangovas Sutarties vykdymui pasitelks šiuos subrangovus ir specialistus (pildoma jeigu pasitelkiami subrangovai ir/ar specialistai):</w:t>
      </w:r>
    </w:p>
    <w:p>
      <w:pPr>
        <w:pStyle w:val="Standard"/>
        <w:suppressAutoHyphens w:val="false"/>
        <w:spacing w:lineRule="auto" w:line="240" w:before="0" w:after="0"/>
        <w:ind w:firstLine="533"/>
        <w:jc w:val="both"/>
        <w:rPr>
          <w:lang w:val="lt-LT"/>
        </w:rPr>
      </w:pPr>
      <w:r>
        <w:rPr>
          <w:rFonts w:eastAsia="Times New Roman" w:cs="Calibri"/>
          <w:lang w:val="lt-LT"/>
        </w:rPr>
        <w:t>14.11.1. (teisinė forma) (pavadinimas), pagal Lietuvos Respublikos įstatymus įsteigta ir veikianti įmonė, juridinio asmens kodas (kodas), kurios registruota buveinė yra (adresas), (išvardinti subrangovui (-ams) priskirtų vykdyti darbų pagal šią Sutartį sąrašus, nurodyti pirkimo sutarties dalį (-is), perduodamą (-as) subrangovui (-ams)) darbų atlikimui.</w:t>
      </w:r>
    </w:p>
    <w:p>
      <w:pPr>
        <w:pStyle w:val="Standard"/>
        <w:suppressAutoHyphens w:val="false"/>
        <w:spacing w:lineRule="auto" w:line="240" w:before="0" w:after="0"/>
        <w:ind w:firstLine="533"/>
        <w:jc w:val="both"/>
        <w:rPr>
          <w:lang w:val="lt-LT"/>
        </w:rPr>
      </w:pPr>
      <w:r>
        <w:rPr>
          <w:rFonts w:eastAsia="Times New Roman" w:cs="Calibri"/>
          <w:lang w:val="lt-LT"/>
        </w:rPr>
        <w:t xml:space="preserve">14.11.2. </w:t>
      </w:r>
    </w:p>
    <w:p>
      <w:pPr>
        <w:pStyle w:val="Standard"/>
        <w:suppressAutoHyphens w:val="false"/>
        <w:spacing w:lineRule="auto" w:line="240" w:before="0" w:after="0"/>
        <w:ind w:firstLine="539"/>
        <w:jc w:val="both"/>
        <w:rPr>
          <w:lang w:val="lt-LT"/>
        </w:rPr>
      </w:pPr>
      <w:r>
        <w:rPr>
          <w:lang w:val="lt-LT"/>
        </w:rPr>
      </w:r>
    </w:p>
    <w:p>
      <w:pPr>
        <w:pStyle w:val="Standard"/>
        <w:suppressAutoHyphens w:val="false"/>
        <w:spacing w:lineRule="auto" w:line="240" w:before="0" w:after="0"/>
        <w:ind w:firstLine="539"/>
        <w:jc w:val="both"/>
        <w:rPr>
          <w:lang w:val="lt-LT"/>
        </w:rPr>
      </w:pPr>
      <w:r>
        <w:rPr>
          <w:lang w:val="lt-LT"/>
        </w:rPr>
      </w:r>
    </w:p>
    <w:p>
      <w:pPr>
        <w:pStyle w:val="Standard"/>
        <w:suppressAutoHyphens w:val="false"/>
        <w:spacing w:lineRule="auto" w:line="240" w:before="0" w:after="0"/>
        <w:jc w:val="center"/>
        <w:rPr>
          <w:lang w:val="lt-LT"/>
        </w:rPr>
      </w:pPr>
      <w:r>
        <w:rPr>
          <w:rFonts w:eastAsia="Times New Roman" w:cs="Calibri"/>
          <w:b/>
          <w:bCs/>
          <w:lang w:val="lt-LT"/>
        </w:rPr>
        <w:t>XV. GINČŲ SPRENDIMAS</w:t>
      </w:r>
    </w:p>
    <w:p>
      <w:pPr>
        <w:pStyle w:val="Standard"/>
        <w:suppressAutoHyphens w:val="false"/>
        <w:spacing w:lineRule="auto" w:line="240" w:before="0" w:after="0"/>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lang w:val="lt-LT"/>
        </w:rPr>
        <w:t>15.1.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pPr>
        <w:pStyle w:val="Standard"/>
        <w:suppressAutoHyphens w:val="false"/>
        <w:spacing w:lineRule="auto" w:line="240" w:before="0" w:after="0"/>
        <w:ind w:firstLine="363"/>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lang w:val="lt-LT"/>
        </w:rPr>
        <w:t>XVI. KITOS SUTARTIES SĄLYGOS</w:t>
      </w:r>
    </w:p>
    <w:p>
      <w:pPr>
        <w:pStyle w:val="Standard"/>
        <w:suppressAutoHyphens w:val="false"/>
        <w:spacing w:lineRule="auto" w:line="240" w:before="0" w:after="0"/>
        <w:ind w:firstLine="363"/>
        <w:rPr>
          <w:rFonts w:eastAsia="Times New Roman" w:cs="Calibri"/>
          <w:lang w:val="lt-LT"/>
        </w:rPr>
      </w:pPr>
      <w:r>
        <w:rPr>
          <w:rFonts w:eastAsia="Times New Roman" w:cs="Calibri"/>
          <w:lang w:val="lt-LT"/>
        </w:rPr>
      </w:r>
    </w:p>
    <w:p>
      <w:pPr>
        <w:pStyle w:val="Standard"/>
        <w:suppressAutoHyphens w:val="false"/>
        <w:spacing w:lineRule="auto" w:line="240" w:before="0" w:after="0"/>
        <w:ind w:firstLine="567"/>
        <w:jc w:val="both"/>
        <w:rPr>
          <w:lang w:val="lt-LT"/>
        </w:rPr>
      </w:pPr>
      <w:r>
        <w:rPr>
          <w:rFonts w:eastAsia="Times New Roman" w:cs="Calibri"/>
          <w:lang w:val="lt-LT"/>
        </w:rPr>
        <w:t>16.1. Vykdydamos Sutartį, Šalys vadovaujasi Lietuvos Respublikos civiliniu kodeksu, įstatymais bei kitais teisės aktais. Sutartyje neaptarti klausimai sprendžiami aukščiau nurodytų teisės aktų nustatyta tvarka.</w:t>
      </w:r>
    </w:p>
    <w:p>
      <w:pPr>
        <w:pStyle w:val="Standard"/>
        <w:suppressAutoHyphens w:val="false"/>
        <w:spacing w:lineRule="auto" w:line="240" w:before="0" w:after="0"/>
        <w:ind w:firstLine="567"/>
        <w:jc w:val="both"/>
        <w:rPr>
          <w:lang w:val="lt-LT"/>
        </w:rPr>
      </w:pPr>
      <w:r>
        <w:rPr>
          <w:rFonts w:eastAsia="Times New Roman" w:cs="Calibri"/>
          <w:lang w:val="lt-LT"/>
        </w:rPr>
        <w:t>16.2. Šalys įsipareigoja apie rekvizitų pasikeitimus nedelsiant raštu pranešti kitai Šaliai.</w:t>
      </w:r>
    </w:p>
    <w:p>
      <w:pPr>
        <w:pStyle w:val="Standard"/>
        <w:suppressAutoHyphens w:val="false"/>
        <w:spacing w:lineRule="auto" w:line="240" w:before="0" w:after="0"/>
        <w:ind w:firstLine="567"/>
        <w:jc w:val="both"/>
        <w:rPr>
          <w:lang w:val="lt-LT"/>
        </w:rPr>
      </w:pPr>
      <w:r>
        <w:rPr>
          <w:rFonts w:eastAsia="Times New Roman" w:cs="Calibri"/>
          <w:lang w:val="lt-LT"/>
        </w:rPr>
        <w:t>16.3. Asmenys, atsakingi už Sutarties vykdymą, Sutarties ir pakeitimų paskelbimą:</w:t>
      </w:r>
    </w:p>
    <w:p>
      <w:pPr>
        <w:pStyle w:val="Standard"/>
        <w:suppressAutoHyphens w:val="false"/>
        <w:spacing w:lineRule="auto" w:line="240" w:before="0" w:after="0"/>
        <w:ind w:firstLine="567"/>
        <w:jc w:val="both"/>
        <w:rPr>
          <w:lang w:val="lt-LT"/>
        </w:rPr>
      </w:pPr>
      <w:r>
        <w:rPr>
          <w:rFonts w:eastAsia="Times New Roman" w:cs="Calibri"/>
          <w:lang w:val="lt-LT"/>
        </w:rPr>
        <w:t>16.3.1. Užsakovo: ______________________________________________.</w:t>
      </w:r>
    </w:p>
    <w:p>
      <w:pPr>
        <w:pStyle w:val="Standard"/>
        <w:suppressAutoHyphens w:val="false"/>
        <w:spacing w:lineRule="auto" w:line="240" w:before="0" w:after="0"/>
        <w:ind w:firstLine="567"/>
        <w:jc w:val="both"/>
        <w:rPr>
          <w:lang w:val="lt-LT"/>
        </w:rPr>
      </w:pPr>
      <w:r>
        <w:rPr>
          <w:rFonts w:eastAsia="Times New Roman" w:cs="Calibri"/>
          <w:lang w:val="lt-LT"/>
        </w:rPr>
        <w:t>16.3.2. Rangovo: _______________________________________________.</w:t>
      </w:r>
    </w:p>
    <w:p>
      <w:pPr>
        <w:pStyle w:val="Standard"/>
        <w:suppressAutoHyphens w:val="false"/>
        <w:spacing w:lineRule="auto" w:line="240" w:before="0" w:after="0"/>
        <w:ind w:firstLine="567"/>
        <w:jc w:val="both"/>
        <w:rPr>
          <w:lang w:val="lt-LT"/>
        </w:rPr>
      </w:pPr>
      <w:r>
        <w:rPr>
          <w:rFonts w:eastAsia="Times New Roman" w:cs="Calibri"/>
          <w:lang w:val="lt-LT"/>
        </w:rPr>
        <w:t>16.4. Visi Sutarties papildymai ir pakeitimai galioja, jei yra sudaryti ir patvirtinti abiejų Šalių. Visi susitarimai dėl Sutarties pakeitimo yra laikytini neatskiriama Sutarties dalimi.</w:t>
      </w:r>
    </w:p>
    <w:p>
      <w:pPr>
        <w:pStyle w:val="Standard"/>
        <w:suppressAutoHyphens w:val="false"/>
        <w:spacing w:lineRule="auto" w:line="240" w:before="0" w:after="0"/>
        <w:ind w:firstLine="562"/>
        <w:jc w:val="both"/>
        <w:rPr>
          <w:lang w:val="lt-LT"/>
        </w:rPr>
      </w:pPr>
      <w:r>
        <w:rPr>
          <w:rFonts w:eastAsia="Times New Roman" w:cs="Calibri"/>
          <w:lang w:val="lt-LT"/>
        </w:rPr>
        <w:t>16.5. Sutartis sudaroma lietuvių kalba. Šalys Sutartį pasirašo kvalifikuotais elektroniniais parašais, pasirašomas 1 (vienas) elektroninis Sutarties egzempliorius, kuriuo Šalys pasidalina elektroninių ryšių priemonėmis.</w:t>
      </w:r>
    </w:p>
    <w:p>
      <w:pPr>
        <w:pStyle w:val="Standard"/>
        <w:suppressAutoHyphens w:val="false"/>
        <w:spacing w:lineRule="auto" w:line="240" w:before="0" w:after="0"/>
        <w:ind w:firstLine="562"/>
        <w:jc w:val="both"/>
        <w:rPr>
          <w:lang w:val="lt-LT"/>
        </w:rPr>
      </w:pPr>
      <w:r>
        <w:rPr>
          <w:rFonts w:eastAsia="Times New Roman" w:cs="Calibri"/>
          <w:lang w:val="lt-LT"/>
        </w:rPr>
        <w:t>16.6.Statybos rangos sutarties įgyvendinimo laikotarpiu pasirašyti susirinkimų protokolai ir susirašinėjimai yra neatsiejamas sutarties dalis.</w:t>
      </w:r>
    </w:p>
    <w:p>
      <w:pPr>
        <w:pStyle w:val="Textbody"/>
        <w:spacing w:lineRule="auto" w:line="240" w:before="0" w:after="0"/>
        <w:ind w:firstLine="562"/>
        <w:rPr>
          <w:highlight w:val="none"/>
          <w:shd w:fill="auto" w:val="clear"/>
        </w:rPr>
      </w:pPr>
      <w:r>
        <w:rPr>
          <w:rFonts w:eastAsia="Times New Roman" w:cs="Calibri"/>
          <w:shd w:fill="auto" w:val="clear"/>
          <w:lang w:val="lt-LT"/>
        </w:rPr>
        <w:t xml:space="preserve">16.6. Sutarties priedai: </w:t>
      </w:r>
    </w:p>
    <w:p>
      <w:pPr>
        <w:pStyle w:val="Textbody"/>
        <w:spacing w:lineRule="auto" w:line="240" w:before="0" w:after="0"/>
        <w:ind w:firstLine="562"/>
        <w:rPr>
          <w:highlight w:val="none"/>
          <w:shd w:fill="auto" w:val="clear"/>
        </w:rPr>
      </w:pPr>
      <w:r>
        <w:rPr>
          <w:rFonts w:eastAsia="Times New Roman" w:cs="Calibri"/>
          <w:shd w:fill="auto" w:val="clear"/>
          <w:lang w:val="lt-LT"/>
        </w:rPr>
        <w:t>16.6.1. Techninė specifikacija;</w:t>
      </w:r>
    </w:p>
    <w:p>
      <w:pPr>
        <w:pStyle w:val="Textbody"/>
        <w:spacing w:lineRule="auto" w:line="240" w:before="0" w:after="0"/>
        <w:ind w:firstLine="562"/>
        <w:rPr>
          <w:highlight w:val="none"/>
          <w:shd w:fill="auto" w:val="clear"/>
        </w:rPr>
      </w:pPr>
      <w:r>
        <w:rPr>
          <w:rFonts w:eastAsia="Times New Roman" w:cs="Calibri"/>
          <w:shd w:fill="auto" w:val="clear"/>
          <w:lang w:val="lt-LT"/>
        </w:rPr>
        <w:t>16.6.2. Atliktų darbų priėmimo–perdavimo akto forma.</w:t>
      </w:r>
    </w:p>
    <w:p>
      <w:pPr>
        <w:pStyle w:val="Textbody"/>
        <w:spacing w:lineRule="auto" w:line="240" w:before="0" w:after="0"/>
        <w:ind w:firstLine="562"/>
        <w:rPr>
          <w:rFonts w:eastAsia="Times New Roman" w:cs="Calibri"/>
          <w:lang w:val="lt-LT"/>
        </w:rPr>
      </w:pPr>
      <w:r>
        <w:rPr>
          <w:rFonts w:eastAsia="Times New Roman" w:cs="Calibri"/>
          <w:lang w:val="lt-LT"/>
        </w:rPr>
      </w:r>
    </w:p>
    <w:p>
      <w:pPr>
        <w:pStyle w:val="Textbody"/>
        <w:spacing w:lineRule="auto" w:line="240" w:before="0" w:after="0"/>
        <w:ind w:firstLine="562"/>
        <w:rPr>
          <w:highlight w:val="none"/>
          <w:shd w:fill="auto" w:val="clear"/>
        </w:rPr>
      </w:pPr>
      <w:r>
        <w:rPr>
          <w:shd w:fill="auto" w:val="clear"/>
        </w:rPr>
      </w:r>
    </w:p>
    <w:p>
      <w:pPr>
        <w:pStyle w:val="Standard"/>
        <w:suppressAutoHyphens w:val="false"/>
        <w:spacing w:lineRule="auto" w:line="240" w:before="0" w:after="0"/>
        <w:ind w:firstLine="567"/>
        <w:rPr>
          <w:rFonts w:eastAsia="Times New Roman" w:cs="Calibri"/>
          <w:lang w:val="lt-LT"/>
        </w:rPr>
      </w:pPr>
      <w:r>
        <w:rPr>
          <w:rFonts w:eastAsia="Times New Roman" w:cs="Calibri"/>
          <w:lang w:val="lt-LT"/>
        </w:rPr>
      </w:r>
    </w:p>
    <w:p>
      <w:pPr>
        <w:pStyle w:val="Standard"/>
        <w:suppressAutoHyphens w:val="false"/>
        <w:spacing w:lineRule="auto" w:line="240" w:before="0" w:after="0"/>
        <w:jc w:val="center"/>
        <w:rPr>
          <w:lang w:val="lt-LT"/>
        </w:rPr>
      </w:pPr>
      <w:r>
        <w:rPr>
          <w:rFonts w:eastAsia="Times New Roman" w:cs="Calibri"/>
          <w:b/>
          <w:bCs/>
          <w:lang w:val="lt-LT"/>
        </w:rPr>
        <w:t>XVII. ŠALIŲ REKVIZITAI IR PARAŠAI</w:t>
      </w:r>
    </w:p>
    <w:p>
      <w:pPr>
        <w:pStyle w:val="Standard"/>
        <w:suppressAutoHyphens w:val="false"/>
        <w:spacing w:lineRule="auto" w:line="240" w:before="0" w:after="0"/>
        <w:rPr>
          <w:rFonts w:eastAsia="Times New Roman" w:cs="Calibri"/>
          <w:lang w:val="lt-LT"/>
        </w:rPr>
      </w:pPr>
      <w:r>
        <w:rPr>
          <w:rFonts w:eastAsia="Times New Roman" w:cs="Calibri"/>
          <w:lang w:val="lt-LT"/>
        </w:rPr>
      </w:r>
    </w:p>
    <w:tbl>
      <w:tblPr>
        <w:tblW w:w="9855"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4927"/>
        <w:gridCol w:w="4927"/>
      </w:tblGrid>
      <w:tr>
        <w:trPr/>
        <w:tc>
          <w:tcPr>
            <w:tcW w:w="4927" w:type="dxa"/>
            <w:tcBorders/>
          </w:tcPr>
          <w:p>
            <w:pPr>
              <w:pStyle w:val="Standard"/>
              <w:suppressAutoHyphens w:val="false"/>
              <w:spacing w:lineRule="auto" w:line="240" w:before="0" w:after="0"/>
              <w:rPr>
                <w:lang w:val="lt-LT"/>
              </w:rPr>
            </w:pPr>
            <w:r>
              <w:rPr>
                <w:rFonts w:eastAsia="Times New Roman" w:cs="Calibri"/>
                <w:b/>
                <w:bCs/>
                <w:lang w:val="lt-LT"/>
              </w:rPr>
              <w:t>Užsakovas</w:t>
            </w:r>
          </w:p>
        </w:tc>
        <w:tc>
          <w:tcPr>
            <w:tcW w:w="4927" w:type="dxa"/>
            <w:tcBorders/>
          </w:tcPr>
          <w:p>
            <w:pPr>
              <w:pStyle w:val="Standard"/>
              <w:suppressAutoHyphens w:val="false"/>
              <w:spacing w:lineRule="auto" w:line="240" w:before="0" w:after="0"/>
              <w:rPr>
                <w:lang w:val="lt-LT"/>
              </w:rPr>
            </w:pPr>
            <w:r>
              <w:rPr>
                <w:rFonts w:eastAsia="Times New Roman" w:cs="Calibri"/>
                <w:b/>
                <w:bCs/>
                <w:lang w:val="lt-LT"/>
              </w:rPr>
              <w:t>Rangovas</w:t>
            </w:r>
          </w:p>
        </w:tc>
      </w:tr>
      <w:tr>
        <w:trPr/>
        <w:tc>
          <w:tcPr>
            <w:tcW w:w="4927" w:type="dxa"/>
            <w:tcBorders/>
          </w:tcPr>
          <w:p>
            <w:pPr>
              <w:pStyle w:val="Standard"/>
              <w:suppressAutoHyphens w:val="false"/>
              <w:spacing w:lineRule="auto" w:line="240" w:before="0" w:after="0"/>
              <w:rPr>
                <w:lang w:val="lt-LT"/>
              </w:rPr>
            </w:pPr>
            <w:r>
              <w:rPr>
                <w:rFonts w:eastAsia="Times New Roman" w:cs="Calibri"/>
                <w:color w:val="000000"/>
                <w:lang w:val="lt-LT"/>
              </w:rPr>
              <w:t>VšĮ Prienų rajono pirminės sveikatos priežiūros centras</w:t>
            </w:r>
          </w:p>
        </w:tc>
        <w:tc>
          <w:tcPr>
            <w:tcW w:w="4927" w:type="dxa"/>
            <w:tcBorders/>
          </w:tcPr>
          <w:p>
            <w:pPr>
              <w:pStyle w:val="Standard"/>
              <w:suppressAutoHyphens w:val="false"/>
              <w:spacing w:lineRule="auto" w:line="240" w:before="0" w:after="0"/>
              <w:rPr>
                <w:rFonts w:eastAsia="Times New Roman" w:cs="Calibri"/>
                <w:lang w:val="lt-LT"/>
              </w:rPr>
            </w:pPr>
            <w:r>
              <w:rPr>
                <w:rFonts w:eastAsia="Times New Roman" w:cs="Calibri"/>
                <w:lang w:val="lt-LT"/>
              </w:rPr>
            </w:r>
          </w:p>
        </w:tc>
      </w:tr>
      <w:tr>
        <w:trPr/>
        <w:tc>
          <w:tcPr>
            <w:tcW w:w="4927" w:type="dxa"/>
            <w:tcBorders/>
          </w:tcPr>
          <w:p>
            <w:pPr>
              <w:pStyle w:val="Standard"/>
              <w:suppressAutoHyphens w:val="false"/>
              <w:spacing w:lineRule="auto" w:line="240" w:before="0" w:after="0"/>
              <w:rPr>
                <w:lang w:val="lt-LT"/>
              </w:rPr>
            </w:pPr>
            <w:r>
              <w:rPr>
                <w:rFonts w:eastAsia="Times New Roman" w:cs="Calibri"/>
                <w:color w:val="000000"/>
                <w:lang w:val="lt-LT"/>
              </w:rPr>
              <w:t>Pušyno g. 4, 59115 Prienai</w:t>
            </w:r>
          </w:p>
        </w:tc>
        <w:tc>
          <w:tcPr>
            <w:tcW w:w="4927" w:type="dxa"/>
            <w:tcBorders/>
          </w:tcPr>
          <w:p>
            <w:pPr>
              <w:pStyle w:val="Standard"/>
              <w:suppressAutoHyphens w:val="false"/>
              <w:spacing w:lineRule="auto" w:line="240" w:before="0" w:after="0"/>
              <w:rPr>
                <w:lang w:val="lt-LT"/>
              </w:rPr>
            </w:pPr>
            <w:r>
              <w:rPr>
                <w:rFonts w:eastAsia="Times New Roman" w:cs="Calibri"/>
                <w:lang w:val="lt-LT"/>
              </w:rPr>
              <w:t>Adresas</w:t>
            </w:r>
          </w:p>
        </w:tc>
      </w:tr>
      <w:tr>
        <w:trPr/>
        <w:tc>
          <w:tcPr>
            <w:tcW w:w="4927" w:type="dxa"/>
            <w:tcBorders/>
          </w:tcPr>
          <w:p>
            <w:pPr>
              <w:pStyle w:val="Standard"/>
              <w:suppressAutoHyphens w:val="false"/>
              <w:spacing w:lineRule="auto" w:line="240" w:before="0" w:after="0"/>
              <w:rPr>
                <w:lang w:val="lt-LT"/>
              </w:rPr>
            </w:pPr>
            <w:r>
              <w:rPr>
                <w:rFonts w:eastAsia="Times New Roman" w:cs="Calibri"/>
                <w:color w:val="000000"/>
                <w:lang w:val="lt-LT"/>
              </w:rPr>
              <w:t>Juridinio asmens kodas 190882171</w:t>
            </w:r>
          </w:p>
        </w:tc>
        <w:tc>
          <w:tcPr>
            <w:tcW w:w="4927" w:type="dxa"/>
            <w:tcBorders/>
          </w:tcPr>
          <w:p>
            <w:pPr>
              <w:pStyle w:val="Standard"/>
              <w:suppressAutoHyphens w:val="false"/>
              <w:spacing w:lineRule="auto" w:line="240" w:before="0" w:after="0"/>
              <w:rPr>
                <w:lang w:val="lt-LT"/>
              </w:rPr>
            </w:pPr>
            <w:r>
              <w:rPr>
                <w:rFonts w:eastAsia="Times New Roman" w:cs="Calibri"/>
                <w:lang w:val="lt-LT"/>
              </w:rPr>
              <w:t>Juridinio asmens kodas</w:t>
            </w:r>
          </w:p>
        </w:tc>
      </w:tr>
      <w:tr>
        <w:trPr/>
        <w:tc>
          <w:tcPr>
            <w:tcW w:w="4927" w:type="dxa"/>
            <w:tcBorders/>
          </w:tcPr>
          <w:p>
            <w:pPr>
              <w:pStyle w:val="Standard"/>
              <w:suppressAutoHyphens w:val="false"/>
              <w:spacing w:lineRule="auto" w:line="240" w:before="0" w:after="0"/>
              <w:rPr>
                <w:lang w:val="lt-LT"/>
              </w:rPr>
            </w:pPr>
            <w:r>
              <w:rPr>
                <w:rFonts w:eastAsia="Times New Roman" w:cs="Calibri"/>
                <w:color w:val="000000"/>
                <w:lang w:val="lt-LT"/>
              </w:rPr>
              <w:t>Ne PVM mokėtojas</w:t>
            </w:r>
          </w:p>
        </w:tc>
        <w:tc>
          <w:tcPr>
            <w:tcW w:w="4927" w:type="dxa"/>
            <w:tcBorders/>
          </w:tcPr>
          <w:p>
            <w:pPr>
              <w:pStyle w:val="Standard"/>
              <w:suppressAutoHyphens w:val="false"/>
              <w:spacing w:lineRule="auto" w:line="240" w:before="0" w:after="0"/>
              <w:rPr>
                <w:lang w:val="lt-LT"/>
              </w:rPr>
            </w:pPr>
            <w:r>
              <w:rPr>
                <w:rFonts w:eastAsia="Times New Roman" w:cs="Calibri"/>
                <w:lang w:val="lt-LT"/>
              </w:rPr>
              <w:t>PVM mokėtojo kodas</w:t>
            </w:r>
          </w:p>
        </w:tc>
      </w:tr>
      <w:tr>
        <w:trPr/>
        <w:tc>
          <w:tcPr>
            <w:tcW w:w="4927" w:type="dxa"/>
            <w:tcBorders/>
          </w:tcPr>
          <w:p>
            <w:pPr>
              <w:pStyle w:val="Standard"/>
              <w:suppressAutoHyphens w:val="false"/>
              <w:spacing w:lineRule="auto" w:line="240" w:before="0" w:after="0"/>
              <w:rPr>
                <w:lang w:val="lt-LT"/>
              </w:rPr>
            </w:pPr>
            <w:r>
              <w:rPr>
                <w:rFonts w:eastAsia="Times New Roman" w:cs="Calibri"/>
                <w:color w:val="000000"/>
                <w:lang w:val="lt-LT"/>
              </w:rPr>
              <w:t>A. s. LT33700010184432449</w:t>
            </w:r>
          </w:p>
        </w:tc>
        <w:tc>
          <w:tcPr>
            <w:tcW w:w="4927" w:type="dxa"/>
            <w:tcBorders/>
          </w:tcPr>
          <w:p>
            <w:pPr>
              <w:pStyle w:val="Standard"/>
              <w:suppressAutoHyphens w:val="false"/>
              <w:spacing w:lineRule="auto" w:line="240" w:before="0" w:after="0"/>
              <w:rPr>
                <w:lang w:val="lt-LT"/>
              </w:rPr>
            </w:pPr>
            <w:r>
              <w:rPr>
                <w:rFonts w:eastAsia="Times New Roman" w:cs="Calibri"/>
                <w:lang w:val="lt-LT"/>
              </w:rPr>
              <w:t>Banko sąskaitos Nr.</w:t>
            </w:r>
          </w:p>
        </w:tc>
      </w:tr>
      <w:tr>
        <w:trPr/>
        <w:tc>
          <w:tcPr>
            <w:tcW w:w="4927" w:type="dxa"/>
            <w:tcBorders/>
          </w:tcPr>
          <w:p>
            <w:pPr>
              <w:pStyle w:val="Standard"/>
              <w:suppressAutoHyphens w:val="false"/>
              <w:spacing w:lineRule="auto" w:line="240" w:before="0" w:after="0"/>
              <w:rPr>
                <w:lang w:val="lt-LT"/>
              </w:rPr>
            </w:pPr>
            <w:r>
              <w:rPr>
                <w:rFonts w:eastAsia="Times New Roman" w:cs="Calibri"/>
                <w:color w:val="000000"/>
                <w:lang w:val="lt-LT"/>
              </w:rPr>
              <w:t>AB „Swedbank“</w:t>
            </w:r>
          </w:p>
        </w:tc>
        <w:tc>
          <w:tcPr>
            <w:tcW w:w="4927" w:type="dxa"/>
            <w:tcBorders/>
          </w:tcPr>
          <w:p>
            <w:pPr>
              <w:pStyle w:val="Standard"/>
              <w:suppressAutoHyphens w:val="false"/>
              <w:spacing w:lineRule="auto" w:line="240" w:before="0" w:after="0"/>
              <w:rPr>
                <w:lang w:val="lt-LT"/>
              </w:rPr>
            </w:pPr>
            <w:r>
              <w:rPr>
                <w:rFonts w:eastAsia="Times New Roman" w:cs="Calibri"/>
                <w:color w:val="000000"/>
                <w:lang w:val="lt-LT"/>
              </w:rPr>
              <w:t>Bankas</w:t>
            </w:r>
          </w:p>
        </w:tc>
      </w:tr>
      <w:tr>
        <w:trPr/>
        <w:tc>
          <w:tcPr>
            <w:tcW w:w="4927" w:type="dxa"/>
            <w:tcBorders/>
          </w:tcPr>
          <w:p>
            <w:pPr>
              <w:pStyle w:val="Standard"/>
              <w:suppressAutoHyphens w:val="false"/>
              <w:spacing w:lineRule="auto" w:line="240" w:before="0" w:after="0"/>
              <w:rPr>
                <w:lang w:val="lt-LT"/>
              </w:rPr>
            </w:pPr>
            <w:r>
              <w:rPr>
                <w:rFonts w:eastAsia="Times New Roman" w:cs="Calibri"/>
                <w:color w:val="000000"/>
                <w:lang w:val="lt-LT"/>
              </w:rPr>
              <w:t>Banko kodas 73000</w:t>
            </w:r>
          </w:p>
        </w:tc>
        <w:tc>
          <w:tcPr>
            <w:tcW w:w="4927" w:type="dxa"/>
            <w:tcBorders/>
          </w:tcPr>
          <w:p>
            <w:pPr>
              <w:pStyle w:val="Standard"/>
              <w:suppressAutoHyphens w:val="false"/>
              <w:spacing w:lineRule="auto" w:line="240" w:before="0" w:after="0"/>
              <w:rPr>
                <w:lang w:val="lt-LT"/>
              </w:rPr>
            </w:pPr>
            <w:r>
              <w:rPr>
                <w:rFonts w:eastAsia="Times New Roman" w:cs="Calibri"/>
                <w:lang w:val="lt-LT"/>
              </w:rPr>
              <w:t>Banko kodas</w:t>
            </w:r>
          </w:p>
        </w:tc>
      </w:tr>
      <w:tr>
        <w:trPr/>
        <w:tc>
          <w:tcPr>
            <w:tcW w:w="4927" w:type="dxa"/>
            <w:tcBorders/>
          </w:tcPr>
          <w:p>
            <w:pPr>
              <w:pStyle w:val="Standard"/>
              <w:suppressAutoHyphens w:val="false"/>
              <w:spacing w:lineRule="auto" w:line="240" w:before="0" w:after="0"/>
              <w:rPr>
                <w:lang w:val="lt-LT"/>
              </w:rPr>
            </w:pPr>
            <w:r>
              <w:rPr>
                <w:rFonts w:eastAsia="Times New Roman" w:cs="Calibri"/>
                <w:color w:val="000000"/>
                <w:lang w:val="lt-LT"/>
              </w:rPr>
              <w:t>Tel. +370 319 60 293</w:t>
            </w:r>
          </w:p>
        </w:tc>
        <w:tc>
          <w:tcPr>
            <w:tcW w:w="4927" w:type="dxa"/>
            <w:tcBorders/>
          </w:tcPr>
          <w:p>
            <w:pPr>
              <w:pStyle w:val="Standard"/>
              <w:suppressAutoHyphens w:val="false"/>
              <w:spacing w:lineRule="auto" w:line="240" w:before="0" w:after="0"/>
              <w:rPr>
                <w:lang w:val="lt-LT"/>
              </w:rPr>
            </w:pPr>
            <w:r>
              <w:rPr>
                <w:rFonts w:eastAsia="Times New Roman" w:cs="Calibri"/>
                <w:lang w:val="lt-LT"/>
              </w:rPr>
              <w:t>Tel.</w:t>
            </w:r>
          </w:p>
        </w:tc>
      </w:tr>
      <w:tr>
        <w:trPr/>
        <w:tc>
          <w:tcPr>
            <w:tcW w:w="4927" w:type="dxa"/>
            <w:tcBorders/>
          </w:tcPr>
          <w:p>
            <w:pPr>
              <w:pStyle w:val="Standard"/>
              <w:suppressAutoHyphens w:val="false"/>
              <w:spacing w:lineRule="auto" w:line="240" w:before="0" w:after="0"/>
              <w:rPr/>
            </w:pPr>
            <w:r>
              <w:rPr>
                <w:rFonts w:eastAsia="Times New Roman" w:cs="Calibri"/>
                <w:color w:val="000000"/>
                <w:lang w:val="lt-LT"/>
              </w:rPr>
              <w:t xml:space="preserve">El. p. </w:t>
            </w:r>
            <w:hyperlink r:id="rId20">
              <w:r>
                <w:rPr>
                  <w:rStyle w:val="Hyperlink"/>
                  <w:rFonts w:eastAsia="Times New Roman" w:cs="Calibri"/>
                  <w:color w:val="000000"/>
                  <w:u w:val="none"/>
                  <w:lang w:val="lt-LT"/>
                </w:rPr>
                <w:t>administracija@prienupspc.lt</w:t>
              </w:r>
            </w:hyperlink>
          </w:p>
          <w:p>
            <w:pPr>
              <w:pStyle w:val="Standard"/>
              <w:suppressAutoHyphens w:val="false"/>
              <w:spacing w:lineRule="auto" w:line="240" w:before="0" w:after="0"/>
              <w:rPr>
                <w:rFonts w:eastAsia="Times New Roman" w:cs="Calibri"/>
                <w:lang w:val="lt-LT"/>
              </w:rPr>
            </w:pPr>
            <w:r>
              <w:rPr>
                <w:rFonts w:eastAsia="Times New Roman" w:cs="Calibri"/>
                <w:lang w:val="lt-LT"/>
              </w:rPr>
            </w:r>
          </w:p>
        </w:tc>
        <w:tc>
          <w:tcPr>
            <w:tcW w:w="4927" w:type="dxa"/>
            <w:tcBorders/>
          </w:tcPr>
          <w:p>
            <w:pPr>
              <w:pStyle w:val="Standard"/>
              <w:suppressAutoHyphens w:val="false"/>
              <w:spacing w:lineRule="auto" w:line="240" w:before="0" w:after="0"/>
              <w:rPr>
                <w:lang w:val="lt-LT"/>
              </w:rPr>
            </w:pPr>
            <w:r>
              <w:rPr>
                <w:rFonts w:eastAsia="Times New Roman" w:cs="Calibri"/>
                <w:lang w:val="lt-LT"/>
              </w:rPr>
              <w:t>El. p.</w:t>
            </w:r>
          </w:p>
        </w:tc>
      </w:tr>
      <w:tr>
        <w:trPr/>
        <w:tc>
          <w:tcPr>
            <w:tcW w:w="4927" w:type="dxa"/>
            <w:tcBorders/>
          </w:tcPr>
          <w:p>
            <w:pPr>
              <w:pStyle w:val="Standard"/>
              <w:suppressAutoHyphens w:val="false"/>
              <w:spacing w:lineRule="auto" w:line="240" w:before="0" w:after="0"/>
              <w:rPr>
                <w:rFonts w:eastAsia="Times New Roman" w:cs="Calibri"/>
                <w:lang w:val="lt-LT"/>
              </w:rPr>
            </w:pPr>
            <w:r>
              <w:rPr>
                <w:rFonts w:eastAsia="Times New Roman" w:cs="Calibri"/>
                <w:lang w:val="lt-LT"/>
              </w:rPr>
            </w:r>
          </w:p>
        </w:tc>
        <w:tc>
          <w:tcPr>
            <w:tcW w:w="4927" w:type="dxa"/>
            <w:tcBorders/>
          </w:tcPr>
          <w:p>
            <w:pPr>
              <w:pStyle w:val="Standard"/>
              <w:suppressAutoHyphens w:val="false"/>
              <w:spacing w:lineRule="auto" w:line="240" w:before="0" w:after="0"/>
              <w:rPr>
                <w:rFonts w:eastAsia="Times New Roman" w:cs="Calibri"/>
                <w:lang w:val="lt-LT"/>
              </w:rPr>
            </w:pPr>
            <w:r>
              <w:rPr>
                <w:rFonts w:eastAsia="Times New Roman" w:cs="Calibri"/>
                <w:lang w:val="lt-LT"/>
              </w:rPr>
            </w:r>
          </w:p>
        </w:tc>
      </w:tr>
      <w:tr>
        <w:trPr/>
        <w:tc>
          <w:tcPr>
            <w:tcW w:w="4927" w:type="dxa"/>
            <w:tcBorders/>
          </w:tcPr>
          <w:p>
            <w:pPr>
              <w:pStyle w:val="Standard"/>
              <w:suppressAutoHyphens w:val="false"/>
              <w:spacing w:lineRule="auto" w:line="240" w:before="0" w:after="0"/>
              <w:rPr>
                <w:lang w:val="lt-LT"/>
              </w:rPr>
            </w:pPr>
            <w:r>
              <w:rPr>
                <w:rFonts w:eastAsia="Times New Roman" w:cs="Calibri"/>
                <w:lang w:val="lt-LT"/>
              </w:rPr>
              <w:t>Atstovo pareigos</w:t>
            </w:r>
          </w:p>
          <w:p>
            <w:pPr>
              <w:pStyle w:val="Standard"/>
              <w:suppressAutoHyphens w:val="false"/>
              <w:spacing w:lineRule="auto" w:line="240" w:before="0" w:after="0"/>
              <w:rPr>
                <w:lang w:val="lt-LT"/>
              </w:rPr>
            </w:pPr>
            <w:r>
              <w:rPr>
                <w:rFonts w:eastAsia="Times New Roman" w:cs="Calibri"/>
                <w:color w:val="000000"/>
                <w:lang w:val="lt-LT"/>
              </w:rPr>
              <w:t>Vardas, pavardė</w:t>
            </w:r>
          </w:p>
        </w:tc>
        <w:tc>
          <w:tcPr>
            <w:tcW w:w="4927" w:type="dxa"/>
            <w:tcBorders/>
          </w:tcPr>
          <w:p>
            <w:pPr>
              <w:pStyle w:val="Standard"/>
              <w:suppressAutoHyphens w:val="false"/>
              <w:spacing w:lineRule="auto" w:line="240" w:before="0" w:after="0"/>
              <w:rPr>
                <w:lang w:val="lt-LT"/>
              </w:rPr>
            </w:pPr>
            <w:r>
              <w:rPr>
                <w:rFonts w:eastAsia="Times New Roman" w:cs="Calibri"/>
                <w:color w:val="000000"/>
                <w:lang w:val="lt-LT"/>
              </w:rPr>
              <w:t>Atstovo pareigos</w:t>
            </w:r>
          </w:p>
          <w:p>
            <w:pPr>
              <w:pStyle w:val="Standard"/>
              <w:suppressAutoHyphens w:val="false"/>
              <w:spacing w:lineRule="auto" w:line="240" w:before="0" w:after="0"/>
              <w:rPr>
                <w:lang w:val="lt-LT"/>
              </w:rPr>
            </w:pPr>
            <w:r>
              <w:rPr>
                <w:rFonts w:eastAsia="Times New Roman" w:cs="Calibri"/>
                <w:color w:val="000000"/>
                <w:lang w:val="lt-LT"/>
              </w:rPr>
              <w:t>Vardas, pavardė</w:t>
            </w:r>
          </w:p>
        </w:tc>
      </w:tr>
    </w:tbl>
    <w:p>
      <w:pPr>
        <w:pStyle w:val="Standard"/>
        <w:suppressAutoHyphens w:val="false"/>
        <w:spacing w:lineRule="auto" w:line="240" w:before="0" w:after="0"/>
        <w:rPr>
          <w:rFonts w:eastAsia="Times New Roman" w:cs="Calibri"/>
          <w:lang w:val="lt-LT"/>
        </w:rPr>
      </w:pPr>
      <w:r>
        <w:rPr>
          <w:rFonts w:eastAsia="Times New Roman" w:cs="Calibri"/>
          <w:lang w:val="lt-LT"/>
        </w:rPr>
      </w:r>
      <w:r>
        <w:br w:type="page"/>
      </w:r>
    </w:p>
    <w:p>
      <w:pPr>
        <w:pStyle w:val="Standard"/>
        <w:spacing w:before="0" w:after="0"/>
        <w:ind w:left="6749"/>
        <w:rPr>
          <w:lang w:val="lt-LT"/>
        </w:rPr>
      </w:pPr>
      <w:r>
        <w:rPr>
          <w:rFonts w:cs="Calibri"/>
          <w:lang w:val="lt-LT"/>
        </w:rPr>
        <w:t>Sutarties priedas „Atliktų darbų priėmimo–perdavimo akto forma“</w:t>
      </w:r>
    </w:p>
    <w:p>
      <w:pPr>
        <w:pStyle w:val="Standard"/>
        <w:spacing w:lineRule="atLeast" w:line="300" w:before="0" w:after="0"/>
        <w:jc w:val="center"/>
        <w:rPr>
          <w:rFonts w:eastAsia="MS Mincho" w:cs="Calibri"/>
          <w:b/>
          <w:caps/>
          <w:lang w:val="lt-LT" w:eastAsia="en-US"/>
        </w:rPr>
      </w:pPr>
      <w:r>
        <w:rPr>
          <w:rFonts w:eastAsia="MS Mincho" w:cs="Calibri"/>
          <w:b/>
          <w:caps/>
          <w:lang w:val="lt-LT" w:eastAsia="en-US"/>
        </w:rPr>
      </w:r>
    </w:p>
    <w:p>
      <w:pPr>
        <w:pStyle w:val="Standard"/>
        <w:spacing w:lineRule="atLeast" w:line="300" w:before="0" w:after="0"/>
        <w:jc w:val="center"/>
        <w:rPr>
          <w:lang w:val="lt-LT"/>
        </w:rPr>
      </w:pPr>
      <w:r>
        <w:rPr>
          <w:rFonts w:eastAsia="MS Mincho" w:cs="Calibri"/>
          <w:b/>
          <w:caps/>
          <w:lang w:val="lt-LT" w:eastAsia="en-US"/>
        </w:rPr>
        <w:t>Atliktų darbų pRIĖMIMO-PERDAVIMO aktAS</w:t>
      </w:r>
    </w:p>
    <w:p>
      <w:pPr>
        <w:pStyle w:val="Standard"/>
        <w:spacing w:lineRule="atLeast" w:line="300" w:before="0" w:after="0"/>
        <w:jc w:val="center"/>
        <w:rPr>
          <w:lang w:val="lt-LT"/>
        </w:rPr>
      </w:pPr>
      <w:r>
        <w:rPr>
          <w:rFonts w:eastAsia="MS Mincho" w:cs="Calibri"/>
          <w:lang w:val="lt-LT" w:eastAsia="en-US"/>
        </w:rPr>
        <w:t>Nr. ______</w:t>
      </w:r>
    </w:p>
    <w:p>
      <w:pPr>
        <w:pStyle w:val="Standard"/>
        <w:spacing w:lineRule="atLeast" w:line="300" w:before="0" w:after="0"/>
        <w:jc w:val="center"/>
        <w:rPr>
          <w:lang w:val="lt-LT"/>
        </w:rPr>
      </w:pPr>
      <w:r>
        <w:rPr>
          <w:rFonts w:eastAsia="MS Mincho" w:cs="Calibri"/>
          <w:lang w:val="lt-LT" w:eastAsia="en-US"/>
        </w:rPr>
        <w:t>[Data]</w:t>
      </w:r>
    </w:p>
    <w:p>
      <w:pPr>
        <w:pStyle w:val="Heading2"/>
        <w:rPr>
          <w:lang w:val="lt-LT"/>
        </w:rPr>
      </w:pPr>
      <w:r>
        <w:rPr>
          <w:rFonts w:eastAsia="MS Mincho" w:cs="Calibri" w:ascii="Calibri" w:hAnsi="Calibri"/>
          <w:color w:val="000000"/>
          <w:sz w:val="21"/>
          <w:szCs w:val="21"/>
          <w:lang w:val="lt-LT" w:eastAsia="en-US"/>
        </w:rPr>
        <w:t>Ataskaitinis laikotarpis nuo [Data] iki [Data]</w:t>
      </w:r>
    </w:p>
    <w:p>
      <w:pPr>
        <w:pStyle w:val="Standard"/>
        <w:spacing w:lineRule="atLeast" w:line="300" w:before="0" w:after="0"/>
        <w:rPr>
          <w:lang w:val="lt-LT"/>
        </w:rPr>
      </w:pPr>
      <w:r>
        <w:rPr>
          <w:rFonts w:eastAsia="MS Mincho" w:cs="Calibri"/>
          <w:lang w:val="lt-LT" w:eastAsia="en-US"/>
        </w:rPr>
        <w:t>Objektas:</w:t>
      </w:r>
    </w:p>
    <w:p>
      <w:pPr>
        <w:pStyle w:val="Standard"/>
        <w:rPr>
          <w:lang w:val="lt-LT"/>
        </w:rPr>
      </w:pPr>
      <w:r>
        <w:rPr>
          <w:rFonts w:cs="Calibri"/>
          <w:lang w:val="lt-LT"/>
        </w:rPr>
        <w:t>Rangovas:</w:t>
      </w:r>
    </w:p>
    <w:p>
      <w:pPr>
        <w:pStyle w:val="Standard"/>
        <w:rPr>
          <w:lang w:val="lt-LT"/>
        </w:rPr>
      </w:pPr>
      <w:r>
        <w:rPr>
          <w:rFonts w:cs="Calibri"/>
          <w:lang w:val="lt-LT"/>
        </w:rPr>
        <w:t>Užsakovas:</w:t>
      </w:r>
    </w:p>
    <w:p>
      <w:pPr>
        <w:pStyle w:val="Standard"/>
        <w:rPr>
          <w:lang w:val="lt-LT"/>
        </w:rPr>
      </w:pPr>
      <w:r>
        <w:rPr>
          <w:rFonts w:cs="Calibri"/>
          <w:lang w:val="lt-LT"/>
        </w:rPr>
        <w:t xml:space="preserve">Sutartis: [Data] </w:t>
      </w:r>
      <w:r>
        <w:rPr>
          <w:rFonts w:eastAsia="MS Mincho" w:cs="Calibri"/>
          <w:lang w:val="lt-LT" w:eastAsia="en-US"/>
        </w:rPr>
        <w:t>Nr. ______</w:t>
      </w:r>
    </w:p>
    <w:p>
      <w:pPr>
        <w:pStyle w:val="Standard"/>
        <w:rPr>
          <w:rFonts w:cs="Calibri"/>
          <w:lang w:val="lt-LT"/>
        </w:rPr>
      </w:pPr>
      <w:r>
        <w:rPr>
          <w:rFonts w:cs="Calibri"/>
          <w:lang w:val="lt-LT"/>
        </w:rPr>
      </w:r>
    </w:p>
    <w:tbl>
      <w:tblPr>
        <w:tblW w:w="9919" w:type="dxa"/>
        <w:jc w:val="left"/>
        <w:tblInd w:w="7" w:type="dxa"/>
        <w:tblLayout w:type="fixed"/>
        <w:tblCellMar>
          <w:top w:w="0" w:type="dxa"/>
          <w:left w:w="108" w:type="dxa"/>
          <w:bottom w:w="0" w:type="dxa"/>
          <w:right w:w="108" w:type="dxa"/>
        </w:tblCellMar>
        <w:tblLook w:firstRow="1" w:noVBand="1" w:lastRow="0" w:firstColumn="1" w:lastColumn="0" w:noHBand="0" w:val="04a0"/>
      </w:tblPr>
      <w:tblGrid>
        <w:gridCol w:w="520"/>
        <w:gridCol w:w="2538"/>
        <w:gridCol w:w="1819"/>
        <w:gridCol w:w="1078"/>
        <w:gridCol w:w="1360"/>
        <w:gridCol w:w="1017"/>
        <w:gridCol w:w="1586"/>
      </w:tblGrid>
      <w:tr>
        <w:trPr/>
        <w:tc>
          <w:tcPr>
            <w:tcW w:w="520" w:type="dxa"/>
            <w:vMerge w:val="restart"/>
            <w:tcBorders>
              <w:top w:val="single" w:sz="6" w:space="0" w:color="000000"/>
              <w:left w:val="single" w:sz="6" w:space="0" w:color="000000"/>
              <w:bottom w:val="single" w:sz="6" w:space="0" w:color="000000"/>
              <w:right w:val="single" w:sz="6" w:space="0" w:color="000000"/>
            </w:tcBorders>
            <w:vAlign w:val="center"/>
          </w:tcPr>
          <w:p>
            <w:pPr>
              <w:pStyle w:val="Standard"/>
              <w:tabs>
                <w:tab w:val="clear" w:pos="720"/>
                <w:tab w:val="left" w:pos="1418" w:leader="none"/>
                <w:tab w:val="left" w:pos="5500" w:leader="none"/>
                <w:tab w:val="left" w:pos="6747" w:leader="none"/>
                <w:tab w:val="left" w:pos="8165" w:leader="none"/>
              </w:tabs>
              <w:spacing w:before="0" w:after="0"/>
              <w:jc w:val="center"/>
              <w:rPr>
                <w:lang w:val="lt-LT"/>
              </w:rPr>
            </w:pPr>
            <w:r>
              <w:rPr>
                <w:rFonts w:cs="Calibri"/>
                <w:lang w:val="lt-LT"/>
              </w:rPr>
              <w:t>Eil.</w:t>
            </w:r>
          </w:p>
          <w:p>
            <w:pPr>
              <w:pStyle w:val="Standard"/>
              <w:tabs>
                <w:tab w:val="clear" w:pos="720"/>
                <w:tab w:val="left" w:pos="1418" w:leader="none"/>
                <w:tab w:val="left" w:pos="5500" w:leader="none"/>
                <w:tab w:val="left" w:pos="6747" w:leader="none"/>
                <w:tab w:val="left" w:pos="8165" w:leader="none"/>
              </w:tabs>
              <w:spacing w:before="0" w:after="0"/>
              <w:jc w:val="center"/>
              <w:rPr>
                <w:lang w:val="lt-LT"/>
              </w:rPr>
            </w:pPr>
            <w:r>
              <w:rPr>
                <w:rFonts w:cs="Calibri"/>
                <w:lang w:val="lt-LT"/>
              </w:rPr>
              <w:t>Nr.</w:t>
            </w:r>
          </w:p>
        </w:tc>
        <w:tc>
          <w:tcPr>
            <w:tcW w:w="2538" w:type="dxa"/>
            <w:vMerge w:val="restart"/>
            <w:tcBorders>
              <w:top w:val="single" w:sz="6" w:space="0" w:color="000000"/>
              <w:bottom w:val="single" w:sz="6" w:space="0" w:color="000000"/>
              <w:right w:val="single" w:sz="6" w:space="0" w:color="000000"/>
            </w:tcBorders>
            <w:vAlign w:val="center"/>
          </w:tcPr>
          <w:p>
            <w:pPr>
              <w:pStyle w:val="Standard"/>
              <w:tabs>
                <w:tab w:val="clear" w:pos="720"/>
                <w:tab w:val="left" w:pos="1418" w:leader="none"/>
                <w:tab w:val="left" w:pos="5500" w:leader="none"/>
                <w:tab w:val="left" w:pos="6747" w:leader="none"/>
                <w:tab w:val="left" w:pos="8165" w:leader="none"/>
              </w:tabs>
              <w:spacing w:before="0" w:after="0"/>
              <w:jc w:val="center"/>
              <w:rPr>
                <w:lang w:val="lt-LT"/>
              </w:rPr>
            </w:pPr>
            <w:r>
              <w:rPr>
                <w:rFonts w:cs="Calibri"/>
                <w:lang w:val="lt-LT"/>
              </w:rPr>
              <w:t>Veiklos pavadinimas</w:t>
            </w:r>
          </w:p>
        </w:tc>
        <w:tc>
          <w:tcPr>
            <w:tcW w:w="1819" w:type="dxa"/>
            <w:vMerge w:val="restart"/>
            <w:tcBorders>
              <w:top w:val="single" w:sz="6" w:space="0" w:color="000000"/>
              <w:bottom w:val="single" w:sz="6" w:space="0" w:color="000000"/>
              <w:right w:val="single" w:sz="6" w:space="0" w:color="000000"/>
            </w:tcBorders>
            <w:vAlign w:val="center"/>
          </w:tcPr>
          <w:p>
            <w:pPr>
              <w:pStyle w:val="Standard"/>
              <w:tabs>
                <w:tab w:val="clear" w:pos="720"/>
                <w:tab w:val="left" w:pos="1418" w:leader="none"/>
                <w:tab w:val="left" w:pos="5500" w:leader="none"/>
                <w:tab w:val="left" w:pos="6747" w:leader="none"/>
                <w:tab w:val="left" w:pos="8165" w:leader="none"/>
              </w:tabs>
              <w:spacing w:before="0" w:after="0"/>
              <w:jc w:val="center"/>
              <w:rPr>
                <w:lang w:val="lt-LT"/>
              </w:rPr>
            </w:pPr>
            <w:r>
              <w:rPr>
                <w:rFonts w:cs="Calibri"/>
                <w:lang w:val="lt-LT"/>
              </w:rPr>
              <w:t>Darbų kaina, €</w:t>
            </w:r>
          </w:p>
        </w:tc>
        <w:tc>
          <w:tcPr>
            <w:tcW w:w="5041" w:type="dxa"/>
            <w:gridSpan w:val="4"/>
            <w:tcBorders>
              <w:top w:val="single" w:sz="4" w:space="0" w:color="000000"/>
              <w:bottom w:val="single" w:sz="4" w:space="0" w:color="000000"/>
              <w:right w:val="single" w:sz="4" w:space="0" w:color="000000"/>
            </w:tcBorders>
          </w:tcPr>
          <w:p>
            <w:pPr>
              <w:pStyle w:val="Standard"/>
              <w:tabs>
                <w:tab w:val="clear" w:pos="720"/>
                <w:tab w:val="left" w:pos="1418" w:leader="none"/>
                <w:tab w:val="left" w:pos="5500" w:leader="none"/>
                <w:tab w:val="left" w:pos="6747" w:leader="none"/>
                <w:tab w:val="left" w:pos="8165" w:leader="none"/>
              </w:tabs>
              <w:spacing w:before="0" w:after="0"/>
              <w:jc w:val="center"/>
              <w:rPr>
                <w:lang w:val="lt-LT"/>
              </w:rPr>
            </w:pPr>
            <w:r>
              <w:rPr>
                <w:rFonts w:cs="Calibri"/>
                <w:lang w:val="lt-LT"/>
              </w:rPr>
              <w:t>Įvykdyta</w:t>
            </w:r>
          </w:p>
        </w:tc>
      </w:tr>
      <w:tr>
        <w:trPr>
          <w:trHeight w:val="392" w:hRule="atLeast"/>
        </w:trPr>
        <w:tc>
          <w:tcPr>
            <w:tcW w:w="52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lang w:val="lt-LT"/>
              </w:rPr>
            </w:pPr>
            <w:r>
              <w:rPr>
                <w:lang w:val="lt-LT"/>
              </w:rPr>
            </w:r>
          </w:p>
        </w:tc>
        <w:tc>
          <w:tcPr>
            <w:tcW w:w="2538" w:type="dxa"/>
            <w:vMerge w:val="continue"/>
            <w:tcBorders>
              <w:top w:val="single" w:sz="6" w:space="0" w:color="000000"/>
              <w:bottom w:val="single" w:sz="6" w:space="0" w:color="000000"/>
              <w:right w:val="single" w:sz="6" w:space="0" w:color="000000"/>
            </w:tcBorders>
            <w:vAlign w:val="center"/>
          </w:tcPr>
          <w:p>
            <w:pPr>
              <w:pStyle w:val="Normal"/>
              <w:rPr>
                <w:lang w:val="lt-LT"/>
              </w:rPr>
            </w:pPr>
            <w:r>
              <w:rPr>
                <w:lang w:val="lt-LT"/>
              </w:rPr>
            </w:r>
          </w:p>
        </w:tc>
        <w:tc>
          <w:tcPr>
            <w:tcW w:w="1819" w:type="dxa"/>
            <w:vMerge w:val="continue"/>
            <w:tcBorders>
              <w:top w:val="single" w:sz="6" w:space="0" w:color="000000"/>
              <w:bottom w:val="single" w:sz="6" w:space="0" w:color="000000"/>
              <w:right w:val="single" w:sz="6" w:space="0" w:color="000000"/>
            </w:tcBorders>
            <w:vAlign w:val="center"/>
          </w:tcPr>
          <w:p>
            <w:pPr>
              <w:pStyle w:val="Normal"/>
              <w:rPr>
                <w:lang w:val="lt-LT"/>
              </w:rPr>
            </w:pPr>
            <w:r>
              <w:rPr>
                <w:lang w:val="lt-LT"/>
              </w:rPr>
            </w:r>
          </w:p>
        </w:tc>
        <w:tc>
          <w:tcPr>
            <w:tcW w:w="2438" w:type="dxa"/>
            <w:gridSpan w:val="2"/>
            <w:tcBorders>
              <w:top w:val="single" w:sz="6" w:space="0" w:color="000000"/>
              <w:left w:val="single" w:sz="6" w:space="0" w:color="000000"/>
              <w:bottom w:val="single" w:sz="6" w:space="0" w:color="000000"/>
              <w:right w:val="single" w:sz="6" w:space="0" w:color="000000"/>
            </w:tcBorders>
            <w:vAlign w:val="center"/>
          </w:tcPr>
          <w:p>
            <w:pPr>
              <w:pStyle w:val="Standard"/>
              <w:tabs>
                <w:tab w:val="clear" w:pos="720"/>
                <w:tab w:val="left" w:pos="1418" w:leader="none"/>
                <w:tab w:val="left" w:pos="5500" w:leader="none"/>
                <w:tab w:val="left" w:pos="6747" w:leader="none"/>
                <w:tab w:val="left" w:pos="8165" w:leader="none"/>
              </w:tabs>
              <w:spacing w:before="0" w:after="0"/>
              <w:jc w:val="center"/>
              <w:rPr>
                <w:lang w:val="lt-LT"/>
              </w:rPr>
            </w:pPr>
            <w:r>
              <w:rPr>
                <w:rFonts w:cs="Calibri"/>
                <w:lang w:val="lt-LT"/>
              </w:rPr>
              <w:t>nuo sutarties pradžios</w:t>
            </w:r>
          </w:p>
        </w:tc>
        <w:tc>
          <w:tcPr>
            <w:tcW w:w="2603" w:type="dxa"/>
            <w:gridSpan w:val="2"/>
            <w:tcBorders>
              <w:top w:val="single" w:sz="6" w:space="0" w:color="000000"/>
              <w:left w:val="single" w:sz="6" w:space="0" w:color="000000"/>
              <w:bottom w:val="single" w:sz="6" w:space="0" w:color="000000"/>
              <w:right w:val="single" w:sz="6" w:space="0" w:color="000000"/>
            </w:tcBorders>
            <w:vAlign w:val="center"/>
          </w:tcPr>
          <w:p>
            <w:pPr>
              <w:pStyle w:val="Standard"/>
              <w:tabs>
                <w:tab w:val="clear" w:pos="720"/>
                <w:tab w:val="left" w:pos="1418" w:leader="none"/>
                <w:tab w:val="left" w:pos="5500" w:leader="none"/>
                <w:tab w:val="left" w:pos="6747" w:leader="none"/>
                <w:tab w:val="left" w:pos="8165" w:leader="none"/>
              </w:tabs>
              <w:spacing w:before="0" w:after="0"/>
              <w:jc w:val="center"/>
              <w:rPr>
                <w:lang w:val="lt-LT"/>
              </w:rPr>
            </w:pPr>
            <w:r>
              <w:rPr>
                <w:rFonts w:cs="Calibri"/>
                <w:lang w:val="lt-LT"/>
              </w:rPr>
              <w:t>per ataskaitinį laikotarpį</w:t>
            </w:r>
          </w:p>
        </w:tc>
      </w:tr>
      <w:tr>
        <w:trPr/>
        <w:tc>
          <w:tcPr>
            <w:tcW w:w="52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lang w:val="lt-LT"/>
              </w:rPr>
            </w:pPr>
            <w:r>
              <w:rPr>
                <w:lang w:val="lt-LT"/>
              </w:rPr>
            </w:r>
          </w:p>
        </w:tc>
        <w:tc>
          <w:tcPr>
            <w:tcW w:w="2538" w:type="dxa"/>
            <w:vMerge w:val="continue"/>
            <w:tcBorders>
              <w:top w:val="single" w:sz="6" w:space="0" w:color="000000"/>
              <w:bottom w:val="single" w:sz="6" w:space="0" w:color="000000"/>
              <w:right w:val="single" w:sz="6" w:space="0" w:color="000000"/>
            </w:tcBorders>
            <w:vAlign w:val="center"/>
          </w:tcPr>
          <w:p>
            <w:pPr>
              <w:pStyle w:val="Normal"/>
              <w:rPr>
                <w:lang w:val="lt-LT"/>
              </w:rPr>
            </w:pPr>
            <w:r>
              <w:rPr>
                <w:lang w:val="lt-LT"/>
              </w:rPr>
            </w:r>
          </w:p>
        </w:tc>
        <w:tc>
          <w:tcPr>
            <w:tcW w:w="1819" w:type="dxa"/>
            <w:vMerge w:val="continue"/>
            <w:tcBorders>
              <w:top w:val="single" w:sz="6" w:space="0" w:color="000000"/>
              <w:bottom w:val="single" w:sz="6" w:space="0" w:color="000000"/>
              <w:right w:val="single" w:sz="6" w:space="0" w:color="000000"/>
            </w:tcBorders>
            <w:vAlign w:val="center"/>
          </w:tcPr>
          <w:p>
            <w:pPr>
              <w:pStyle w:val="Normal"/>
              <w:rPr>
                <w:lang w:val="lt-LT"/>
              </w:rPr>
            </w:pPr>
            <w:r>
              <w:rPr>
                <w:lang w:val="lt-LT"/>
              </w:rPr>
            </w:r>
          </w:p>
        </w:tc>
        <w:tc>
          <w:tcPr>
            <w:tcW w:w="1078" w:type="dxa"/>
            <w:tcBorders>
              <w:top w:val="single" w:sz="6" w:space="0" w:color="000000"/>
              <w:left w:val="single" w:sz="6" w:space="0" w:color="000000"/>
              <w:right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jc w:val="center"/>
              <w:rPr>
                <w:lang w:val="lt-LT"/>
              </w:rPr>
            </w:pPr>
            <w:r>
              <w:rPr>
                <w:rFonts w:cs="Calibri"/>
                <w:lang w:val="lt-LT"/>
              </w:rPr>
              <w:t>%</w:t>
            </w:r>
          </w:p>
        </w:tc>
        <w:tc>
          <w:tcPr>
            <w:tcW w:w="1360" w:type="dxa"/>
            <w:tcBorders>
              <w:top w:val="single" w:sz="6" w:space="0" w:color="000000"/>
              <w:left w:val="single" w:sz="6" w:space="0" w:color="000000"/>
              <w:right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jc w:val="center"/>
              <w:rPr>
                <w:lang w:val="lt-LT"/>
              </w:rPr>
            </w:pPr>
            <w:r>
              <w:rPr>
                <w:rFonts w:cs="Calibri"/>
                <w:lang w:val="lt-LT"/>
              </w:rPr>
              <w:t>€</w:t>
            </w:r>
          </w:p>
        </w:tc>
        <w:tc>
          <w:tcPr>
            <w:tcW w:w="1017" w:type="dxa"/>
            <w:tcBorders>
              <w:top w:val="single" w:sz="6" w:space="0" w:color="000000"/>
              <w:left w:val="single" w:sz="6" w:space="0" w:color="000000"/>
              <w:right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jc w:val="center"/>
              <w:rPr>
                <w:lang w:val="lt-LT"/>
              </w:rPr>
            </w:pPr>
            <w:r>
              <w:rPr>
                <w:rFonts w:cs="Calibri"/>
                <w:lang w:val="lt-LT"/>
              </w:rPr>
              <w:t>%</w:t>
            </w:r>
          </w:p>
        </w:tc>
        <w:tc>
          <w:tcPr>
            <w:tcW w:w="1586" w:type="dxa"/>
            <w:tcBorders>
              <w:top w:val="single" w:sz="6" w:space="0" w:color="000000"/>
              <w:left w:val="single" w:sz="6" w:space="0" w:color="000000"/>
              <w:right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jc w:val="center"/>
              <w:rPr>
                <w:lang w:val="lt-LT"/>
              </w:rPr>
            </w:pPr>
            <w:r>
              <w:rPr>
                <w:rFonts w:cs="Calibri"/>
                <w:lang w:val="lt-LT"/>
              </w:rPr>
              <w:t>€</w:t>
            </w:r>
          </w:p>
        </w:tc>
      </w:tr>
      <w:tr>
        <w:trPr/>
        <w:tc>
          <w:tcPr>
            <w:tcW w:w="520" w:type="dxa"/>
            <w:tcBorders>
              <w:left w:val="single" w:sz="6" w:space="0" w:color="000000"/>
              <w:bottom w:val="single" w:sz="6" w:space="0" w:color="000000"/>
            </w:tcBorders>
          </w:tcPr>
          <w:p>
            <w:pPr>
              <w:pStyle w:val="Standard"/>
              <w:tabs>
                <w:tab w:val="clear" w:pos="720"/>
                <w:tab w:val="left" w:pos="1305" w:leader="none"/>
                <w:tab w:val="left" w:pos="5387" w:leader="none"/>
                <w:tab w:val="left" w:pos="6634" w:leader="none"/>
                <w:tab w:val="left" w:pos="8052" w:leader="none"/>
              </w:tabs>
              <w:spacing w:before="0" w:after="0"/>
              <w:ind w:left="-113"/>
              <w:jc w:val="center"/>
              <w:rPr>
                <w:lang w:val="lt-LT"/>
              </w:rPr>
            </w:pPr>
            <w:r>
              <w:rPr>
                <w:rFonts w:cs="Calibri"/>
                <w:lang w:val="lt-LT"/>
              </w:rPr>
              <w:t>1.</w:t>
            </w:r>
          </w:p>
        </w:tc>
        <w:tc>
          <w:tcPr>
            <w:tcW w:w="2538"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rPr>
                <w:rFonts w:cs="Calibri"/>
                <w:lang w:val="lt-LT"/>
              </w:rPr>
            </w:pPr>
            <w:r>
              <w:rPr>
                <w:rFonts w:cs="Calibri"/>
                <w:lang w:val="lt-LT"/>
              </w:rPr>
            </w:r>
          </w:p>
        </w:tc>
        <w:tc>
          <w:tcPr>
            <w:tcW w:w="1819"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078" w:type="dxa"/>
            <w:tcBorders>
              <w:top w:val="single" w:sz="6" w:space="0" w:color="000000"/>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360" w:type="dxa"/>
            <w:tcBorders>
              <w:top w:val="single" w:sz="6" w:space="0" w:color="000000"/>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017" w:type="dxa"/>
            <w:tcBorders>
              <w:top w:val="single" w:sz="6" w:space="0" w:color="000000"/>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586" w:type="dxa"/>
            <w:tcBorders>
              <w:top w:val="single" w:sz="6" w:space="0" w:color="000000"/>
              <w:left w:val="single" w:sz="6" w:space="0" w:color="000000"/>
              <w:bottom w:val="single" w:sz="6" w:space="0" w:color="000000"/>
              <w:right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r>
      <w:tr>
        <w:trPr/>
        <w:tc>
          <w:tcPr>
            <w:tcW w:w="520" w:type="dxa"/>
            <w:tcBorders>
              <w:left w:val="single" w:sz="6" w:space="0" w:color="000000"/>
              <w:bottom w:val="single" w:sz="6" w:space="0" w:color="000000"/>
            </w:tcBorders>
          </w:tcPr>
          <w:p>
            <w:pPr>
              <w:pStyle w:val="Standard"/>
              <w:tabs>
                <w:tab w:val="clear" w:pos="720"/>
                <w:tab w:val="left" w:pos="1305" w:leader="none"/>
                <w:tab w:val="left" w:pos="5387" w:leader="none"/>
                <w:tab w:val="left" w:pos="6634" w:leader="none"/>
                <w:tab w:val="left" w:pos="8052" w:leader="none"/>
              </w:tabs>
              <w:spacing w:before="0" w:after="0"/>
              <w:ind w:left="-113"/>
              <w:jc w:val="center"/>
              <w:rPr>
                <w:lang w:val="lt-LT"/>
              </w:rPr>
            </w:pPr>
            <w:r>
              <w:rPr>
                <w:rFonts w:cs="Calibri"/>
                <w:lang w:val="lt-LT"/>
              </w:rPr>
              <w:t>2.</w:t>
            </w:r>
          </w:p>
        </w:tc>
        <w:tc>
          <w:tcPr>
            <w:tcW w:w="2538"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rPr>
                <w:rFonts w:cs="Calibri"/>
                <w:bCs/>
                <w:color w:val="000000"/>
                <w:lang w:val="lt-LT"/>
              </w:rPr>
            </w:pPr>
            <w:r>
              <w:rPr>
                <w:rFonts w:cs="Calibri"/>
                <w:bCs/>
                <w:color w:val="000000"/>
                <w:lang w:val="lt-LT"/>
              </w:rPr>
            </w:r>
          </w:p>
        </w:tc>
        <w:tc>
          <w:tcPr>
            <w:tcW w:w="1819"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078"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360"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017"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586" w:type="dxa"/>
            <w:tcBorders>
              <w:left w:val="single" w:sz="6" w:space="0" w:color="000000"/>
              <w:bottom w:val="single" w:sz="6" w:space="0" w:color="000000"/>
              <w:right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r>
      <w:tr>
        <w:trPr/>
        <w:tc>
          <w:tcPr>
            <w:tcW w:w="520" w:type="dxa"/>
            <w:tcBorders>
              <w:left w:val="single" w:sz="6" w:space="0" w:color="000000"/>
              <w:bottom w:val="single" w:sz="6" w:space="0" w:color="000000"/>
            </w:tcBorders>
          </w:tcPr>
          <w:p>
            <w:pPr>
              <w:pStyle w:val="Standard"/>
              <w:tabs>
                <w:tab w:val="clear" w:pos="720"/>
                <w:tab w:val="left" w:pos="1305" w:leader="none"/>
                <w:tab w:val="left" w:pos="5387" w:leader="none"/>
                <w:tab w:val="left" w:pos="6634" w:leader="none"/>
                <w:tab w:val="left" w:pos="8052" w:leader="none"/>
              </w:tabs>
              <w:spacing w:before="0" w:after="0"/>
              <w:ind w:left="-113"/>
              <w:jc w:val="center"/>
              <w:rPr>
                <w:lang w:val="lt-LT"/>
              </w:rPr>
            </w:pPr>
            <w:r>
              <w:rPr>
                <w:rFonts w:cs="Calibri"/>
                <w:lang w:val="lt-LT"/>
              </w:rPr>
              <w:t>3.</w:t>
            </w:r>
          </w:p>
        </w:tc>
        <w:tc>
          <w:tcPr>
            <w:tcW w:w="2538"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rPr>
                <w:rFonts w:cs="Calibri"/>
                <w:bCs/>
                <w:color w:val="000000"/>
                <w:lang w:val="lt-LT"/>
              </w:rPr>
            </w:pPr>
            <w:r>
              <w:rPr>
                <w:rFonts w:cs="Calibri"/>
                <w:bCs/>
                <w:color w:val="000000"/>
                <w:lang w:val="lt-LT"/>
              </w:rPr>
            </w:r>
          </w:p>
        </w:tc>
        <w:tc>
          <w:tcPr>
            <w:tcW w:w="1819"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078"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360"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017"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586" w:type="dxa"/>
            <w:tcBorders>
              <w:left w:val="single" w:sz="6" w:space="0" w:color="000000"/>
              <w:bottom w:val="single" w:sz="6" w:space="0" w:color="000000"/>
              <w:right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r>
      <w:tr>
        <w:trPr/>
        <w:tc>
          <w:tcPr>
            <w:tcW w:w="520" w:type="dxa"/>
            <w:tcBorders>
              <w:left w:val="single" w:sz="6" w:space="0" w:color="000000"/>
              <w:bottom w:val="single" w:sz="6" w:space="0" w:color="000000"/>
            </w:tcBorders>
          </w:tcPr>
          <w:p>
            <w:pPr>
              <w:pStyle w:val="Standard"/>
              <w:tabs>
                <w:tab w:val="clear" w:pos="720"/>
                <w:tab w:val="left" w:pos="1305" w:leader="none"/>
                <w:tab w:val="left" w:pos="5387" w:leader="none"/>
                <w:tab w:val="left" w:pos="6634" w:leader="none"/>
                <w:tab w:val="left" w:pos="8052" w:leader="none"/>
              </w:tabs>
              <w:spacing w:before="0" w:after="0"/>
              <w:ind w:left="-113"/>
              <w:jc w:val="center"/>
              <w:rPr>
                <w:lang w:val="lt-LT"/>
              </w:rPr>
            </w:pPr>
            <w:r>
              <w:rPr>
                <w:rFonts w:cs="Calibri"/>
                <w:lang w:val="lt-LT"/>
              </w:rPr>
              <w:t>4.</w:t>
            </w:r>
          </w:p>
        </w:tc>
        <w:tc>
          <w:tcPr>
            <w:tcW w:w="2538"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rPr>
                <w:rFonts w:cs="Calibri"/>
                <w:bCs/>
                <w:color w:val="000000"/>
                <w:lang w:val="lt-LT"/>
              </w:rPr>
            </w:pPr>
            <w:r>
              <w:rPr>
                <w:rFonts w:cs="Calibri"/>
                <w:bCs/>
                <w:color w:val="000000"/>
                <w:lang w:val="lt-LT"/>
              </w:rPr>
            </w:r>
          </w:p>
        </w:tc>
        <w:tc>
          <w:tcPr>
            <w:tcW w:w="1819"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078"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360"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017" w:type="dxa"/>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c>
          <w:tcPr>
            <w:tcW w:w="1586" w:type="dxa"/>
            <w:tcBorders>
              <w:left w:val="single" w:sz="6" w:space="0" w:color="000000"/>
              <w:bottom w:val="single" w:sz="6" w:space="0" w:color="000000"/>
              <w:right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r>
      <w:tr>
        <w:trPr/>
        <w:tc>
          <w:tcPr>
            <w:tcW w:w="8332" w:type="dxa"/>
            <w:gridSpan w:val="6"/>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jc w:val="right"/>
              <w:rPr>
                <w:lang w:val="lt-LT"/>
              </w:rPr>
            </w:pPr>
            <w:r>
              <w:rPr>
                <w:rFonts w:eastAsia="MS Mincho" w:cs="Calibri"/>
                <w:b/>
                <w:bCs/>
                <w:lang w:val="lt-LT"/>
              </w:rPr>
              <w:t>Iš viso Eur be PVM</w:t>
            </w:r>
            <w:r>
              <w:rPr>
                <w:rFonts w:cs="Calibri"/>
                <w:b/>
                <w:bCs/>
                <w:lang w:val="lt-LT"/>
              </w:rPr>
              <w:t>:</w:t>
            </w:r>
          </w:p>
        </w:tc>
        <w:tc>
          <w:tcPr>
            <w:tcW w:w="1586" w:type="dxa"/>
            <w:tcBorders>
              <w:left w:val="single" w:sz="6" w:space="0" w:color="000000"/>
              <w:bottom w:val="single" w:sz="6" w:space="0" w:color="000000"/>
              <w:right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r>
      <w:tr>
        <w:trPr/>
        <w:tc>
          <w:tcPr>
            <w:tcW w:w="8332" w:type="dxa"/>
            <w:gridSpan w:val="6"/>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jc w:val="right"/>
              <w:rPr>
                <w:lang w:val="lt-LT"/>
              </w:rPr>
            </w:pPr>
            <w:r>
              <w:rPr>
                <w:rFonts w:cs="Calibri"/>
                <w:b/>
                <w:bCs/>
                <w:lang w:val="lt-LT"/>
              </w:rPr>
              <w:t>PVM:</w:t>
            </w:r>
          </w:p>
        </w:tc>
        <w:tc>
          <w:tcPr>
            <w:tcW w:w="1586" w:type="dxa"/>
            <w:tcBorders>
              <w:left w:val="single" w:sz="6" w:space="0" w:color="000000"/>
              <w:bottom w:val="single" w:sz="6" w:space="0" w:color="000000"/>
              <w:right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r>
      <w:tr>
        <w:trPr/>
        <w:tc>
          <w:tcPr>
            <w:tcW w:w="8332" w:type="dxa"/>
            <w:gridSpan w:val="6"/>
            <w:tcBorders>
              <w:left w:val="single" w:sz="6" w:space="0" w:color="000000"/>
              <w:bottom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jc w:val="right"/>
              <w:rPr>
                <w:lang w:val="lt-LT"/>
              </w:rPr>
            </w:pPr>
            <w:r>
              <w:rPr>
                <w:rFonts w:eastAsia="MS Mincho" w:cs="Calibri"/>
                <w:b/>
                <w:bCs/>
                <w:lang w:val="lt-LT"/>
              </w:rPr>
              <w:t>Suma Eur su PVM:</w:t>
            </w:r>
          </w:p>
        </w:tc>
        <w:tc>
          <w:tcPr>
            <w:tcW w:w="1586" w:type="dxa"/>
            <w:tcBorders>
              <w:left w:val="single" w:sz="6" w:space="0" w:color="000000"/>
              <w:bottom w:val="single" w:sz="6" w:space="0" w:color="000000"/>
              <w:right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rFonts w:cs="Calibri"/>
                <w:lang w:val="lt-LT"/>
              </w:rPr>
            </w:pPr>
            <w:r>
              <w:rPr>
                <w:rFonts w:cs="Calibri"/>
                <w:lang w:val="lt-LT"/>
              </w:rPr>
            </w:r>
          </w:p>
        </w:tc>
      </w:tr>
      <w:tr>
        <w:trPr/>
        <w:tc>
          <w:tcPr>
            <w:tcW w:w="9918" w:type="dxa"/>
            <w:gridSpan w:val="7"/>
            <w:tcBorders>
              <w:left w:val="single" w:sz="6" w:space="0" w:color="000000"/>
              <w:bottom w:val="single" w:sz="6" w:space="0" w:color="000000"/>
              <w:right w:val="single" w:sz="6" w:space="0" w:color="000000"/>
            </w:tcBorders>
          </w:tcPr>
          <w:p>
            <w:pPr>
              <w:pStyle w:val="Standard"/>
              <w:tabs>
                <w:tab w:val="clear" w:pos="720"/>
                <w:tab w:val="left" w:pos="1418" w:leader="none"/>
                <w:tab w:val="left" w:pos="5500" w:leader="none"/>
                <w:tab w:val="left" w:pos="6747" w:leader="none"/>
                <w:tab w:val="left" w:pos="8165" w:leader="none"/>
              </w:tabs>
              <w:spacing w:before="0" w:after="0"/>
              <w:ind w:right="170"/>
              <w:rPr>
                <w:lang w:val="lt-LT"/>
              </w:rPr>
            </w:pPr>
            <w:r>
              <w:rPr>
                <w:rFonts w:cs="Calibri"/>
                <w:i/>
                <w:iCs/>
                <w:lang w:val="lt-LT"/>
              </w:rPr>
              <w:t>Suma žodžiais:</w:t>
            </w:r>
          </w:p>
        </w:tc>
      </w:tr>
    </w:tbl>
    <w:p>
      <w:pPr>
        <w:pStyle w:val="Standard"/>
        <w:rPr>
          <w:rFonts w:cs="Calibri"/>
          <w:b/>
          <w:lang w:val="lt-LT"/>
        </w:rPr>
      </w:pPr>
      <w:r>
        <w:rPr>
          <w:rFonts w:cs="Calibri"/>
          <w:b/>
          <w:lang w:val="lt-LT"/>
        </w:rPr>
      </w:r>
    </w:p>
    <w:p>
      <w:pPr>
        <w:pStyle w:val="Standard"/>
        <w:rPr>
          <w:rFonts w:cs="Calibri"/>
          <w:b/>
          <w:lang w:val="lt-LT"/>
        </w:rPr>
      </w:pPr>
      <w:r>
        <w:rPr>
          <w:rFonts w:cs="Calibri"/>
          <w:b/>
          <w:lang w:val="lt-LT"/>
        </w:rPr>
      </w:r>
    </w:p>
    <w:p>
      <w:pPr>
        <w:pStyle w:val="Standard"/>
        <w:rPr>
          <w:rFonts w:cs="Calibri"/>
          <w:b/>
          <w:lang w:val="lt-LT"/>
        </w:rPr>
      </w:pPr>
      <w:r>
        <w:rPr>
          <w:rFonts w:cs="Calibri"/>
          <w:b/>
          <w:lang w:val="lt-LT"/>
        </w:rPr>
      </w:r>
    </w:p>
    <w:tbl>
      <w:tblPr>
        <w:tblW w:w="963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4754"/>
        <w:gridCol w:w="4883"/>
      </w:tblGrid>
      <w:tr>
        <w:trPr/>
        <w:tc>
          <w:tcPr>
            <w:tcW w:w="4754" w:type="dxa"/>
            <w:tcBorders/>
          </w:tcPr>
          <w:p>
            <w:pPr>
              <w:pStyle w:val="Standard"/>
              <w:tabs>
                <w:tab w:val="clear" w:pos="720"/>
                <w:tab w:val="left" w:pos="426" w:leader="none"/>
              </w:tabs>
              <w:spacing w:before="0" w:after="40"/>
              <w:rPr>
                <w:lang w:val="lt-LT"/>
              </w:rPr>
            </w:pPr>
            <w:r>
              <w:rPr>
                <w:rFonts w:cs="Calibri"/>
                <w:b/>
                <w:lang w:val="lt-LT"/>
              </w:rPr>
              <w:t>Užsakovas</w:t>
            </w:r>
          </w:p>
        </w:tc>
        <w:tc>
          <w:tcPr>
            <w:tcW w:w="4883" w:type="dxa"/>
            <w:tcBorders/>
          </w:tcPr>
          <w:p>
            <w:pPr>
              <w:pStyle w:val="Standard"/>
              <w:tabs>
                <w:tab w:val="clear" w:pos="720"/>
                <w:tab w:val="left" w:pos="426" w:leader="none"/>
              </w:tabs>
              <w:spacing w:before="0" w:after="40"/>
              <w:rPr>
                <w:lang w:val="lt-LT"/>
              </w:rPr>
            </w:pPr>
            <w:r>
              <w:rPr>
                <w:rFonts w:cs="Calibri"/>
                <w:b/>
                <w:lang w:val="lt-LT"/>
              </w:rPr>
              <w:t>Rangovas</w:t>
            </w:r>
          </w:p>
        </w:tc>
      </w:tr>
      <w:tr>
        <w:trPr/>
        <w:tc>
          <w:tcPr>
            <w:tcW w:w="4754" w:type="dxa"/>
            <w:tcBorders/>
          </w:tcPr>
          <w:p>
            <w:pPr>
              <w:pStyle w:val="Standard"/>
              <w:tabs>
                <w:tab w:val="clear" w:pos="720"/>
                <w:tab w:val="left" w:pos="426" w:leader="none"/>
              </w:tabs>
              <w:spacing w:before="0" w:after="40"/>
              <w:rPr>
                <w:rFonts w:cs="Calibri"/>
                <w:b/>
                <w:lang w:val="lt-LT"/>
              </w:rPr>
            </w:pPr>
            <w:r>
              <w:rPr>
                <w:rFonts w:cs="Calibri"/>
                <w:b/>
                <w:lang w:val="lt-LT"/>
              </w:rPr>
            </w:r>
          </w:p>
        </w:tc>
        <w:tc>
          <w:tcPr>
            <w:tcW w:w="4883" w:type="dxa"/>
            <w:tcBorders/>
          </w:tcPr>
          <w:p>
            <w:pPr>
              <w:pStyle w:val="Standard"/>
              <w:tabs>
                <w:tab w:val="clear" w:pos="720"/>
                <w:tab w:val="left" w:pos="426" w:leader="none"/>
              </w:tabs>
              <w:spacing w:before="0" w:after="40"/>
              <w:rPr>
                <w:rFonts w:cs="Calibri"/>
                <w:b/>
                <w:lang w:val="lt-LT"/>
              </w:rPr>
            </w:pPr>
            <w:r>
              <w:rPr>
                <w:rFonts w:cs="Calibri"/>
                <w:b/>
                <w:lang w:val="lt-LT"/>
              </w:rPr>
            </w:r>
          </w:p>
        </w:tc>
      </w:tr>
      <w:tr>
        <w:trPr/>
        <w:tc>
          <w:tcPr>
            <w:tcW w:w="4754" w:type="dxa"/>
            <w:tcBorders/>
          </w:tcPr>
          <w:p>
            <w:pPr>
              <w:pStyle w:val="Standard"/>
              <w:tabs>
                <w:tab w:val="clear" w:pos="720"/>
                <w:tab w:val="left" w:pos="426" w:leader="none"/>
              </w:tabs>
              <w:spacing w:before="0" w:after="40"/>
              <w:rPr>
                <w:lang w:val="lt-LT"/>
              </w:rPr>
            </w:pPr>
            <w:r>
              <w:rPr>
                <w:rFonts w:cs="Calibri"/>
                <w:lang w:val="lt-LT"/>
              </w:rPr>
              <w:t>Atstovo pareigos</w:t>
            </w:r>
          </w:p>
        </w:tc>
        <w:tc>
          <w:tcPr>
            <w:tcW w:w="4883" w:type="dxa"/>
            <w:tcBorders/>
          </w:tcPr>
          <w:p>
            <w:pPr>
              <w:pStyle w:val="Standard"/>
              <w:tabs>
                <w:tab w:val="clear" w:pos="720"/>
                <w:tab w:val="left" w:pos="426" w:leader="none"/>
              </w:tabs>
              <w:spacing w:before="0" w:after="40"/>
              <w:rPr>
                <w:lang w:val="lt-LT"/>
              </w:rPr>
            </w:pPr>
            <w:r>
              <w:rPr>
                <w:rFonts w:cs="Calibri"/>
                <w:lang w:val="lt-LT"/>
              </w:rPr>
              <w:t>Atstovo pareigos</w:t>
            </w:r>
          </w:p>
        </w:tc>
      </w:tr>
      <w:tr>
        <w:trPr/>
        <w:tc>
          <w:tcPr>
            <w:tcW w:w="4754" w:type="dxa"/>
            <w:tcBorders/>
          </w:tcPr>
          <w:p>
            <w:pPr>
              <w:pStyle w:val="Standard"/>
              <w:tabs>
                <w:tab w:val="clear" w:pos="720"/>
                <w:tab w:val="left" w:pos="426" w:leader="none"/>
              </w:tabs>
              <w:spacing w:before="0" w:after="40"/>
              <w:rPr>
                <w:lang w:val="lt-LT"/>
              </w:rPr>
            </w:pPr>
            <w:r>
              <w:rPr>
                <w:rFonts w:cs="Calibri"/>
                <w:lang w:val="lt-LT"/>
              </w:rPr>
              <w:t>Vardas, pavardė</w:t>
            </w:r>
          </w:p>
        </w:tc>
        <w:tc>
          <w:tcPr>
            <w:tcW w:w="4883" w:type="dxa"/>
            <w:tcBorders/>
          </w:tcPr>
          <w:p>
            <w:pPr>
              <w:pStyle w:val="Standard"/>
              <w:tabs>
                <w:tab w:val="clear" w:pos="720"/>
                <w:tab w:val="left" w:pos="426" w:leader="none"/>
              </w:tabs>
              <w:spacing w:before="0" w:after="40"/>
              <w:rPr>
                <w:lang w:val="lt-LT"/>
              </w:rPr>
            </w:pPr>
            <w:r>
              <w:rPr>
                <w:rFonts w:cs="Calibri"/>
                <w:lang w:val="lt-LT"/>
              </w:rPr>
              <w:t>Vardas, pavardė</w:t>
            </w:r>
          </w:p>
        </w:tc>
      </w:tr>
      <w:tr>
        <w:trPr/>
        <w:tc>
          <w:tcPr>
            <w:tcW w:w="4754" w:type="dxa"/>
            <w:tcBorders/>
          </w:tcPr>
          <w:p>
            <w:pPr>
              <w:pStyle w:val="Standard"/>
              <w:tabs>
                <w:tab w:val="clear" w:pos="720"/>
                <w:tab w:val="left" w:pos="426" w:leader="none"/>
              </w:tabs>
              <w:spacing w:before="0" w:after="40"/>
              <w:rPr>
                <w:lang w:val="lt-LT"/>
              </w:rPr>
            </w:pPr>
            <w:r>
              <w:rPr>
                <w:rFonts w:cs="Calibri"/>
                <w:lang w:val="lt-LT"/>
              </w:rPr>
              <w:t>Parašas</w:t>
            </w:r>
          </w:p>
        </w:tc>
        <w:tc>
          <w:tcPr>
            <w:tcW w:w="4883" w:type="dxa"/>
            <w:tcBorders/>
          </w:tcPr>
          <w:p>
            <w:pPr>
              <w:pStyle w:val="Standard"/>
              <w:tabs>
                <w:tab w:val="clear" w:pos="720"/>
                <w:tab w:val="left" w:pos="426" w:leader="none"/>
              </w:tabs>
              <w:spacing w:before="0" w:after="40"/>
              <w:rPr>
                <w:lang w:val="lt-LT"/>
              </w:rPr>
            </w:pPr>
            <w:r>
              <w:rPr>
                <w:rFonts w:cs="Calibri"/>
                <w:lang w:val="lt-LT"/>
              </w:rPr>
              <w:t>Parašas</w:t>
            </w:r>
          </w:p>
        </w:tc>
      </w:tr>
    </w:tbl>
    <w:p>
      <w:pPr>
        <w:pStyle w:val="Standard"/>
        <w:spacing w:before="0" w:after="40"/>
        <w:rPr>
          <w:rFonts w:cs="Calibri"/>
          <w:lang w:val="lt-LT"/>
        </w:rPr>
      </w:pPr>
      <w:r>
        <w:rPr>
          <w:rFonts w:cs="Calibri"/>
          <w:lang w:val="lt-LT"/>
        </w:rPr>
      </w:r>
    </w:p>
    <w:p>
      <w:pPr>
        <w:pStyle w:val="Standard"/>
        <w:suppressAutoHyphens w:val="false"/>
        <w:spacing w:lineRule="auto" w:line="240" w:before="0" w:after="0"/>
        <w:rPr>
          <w:rFonts w:eastAsia="Times New Roman" w:cs="Calibri"/>
          <w:lang w:val="lt-LT"/>
        </w:rPr>
      </w:pPr>
      <w:r>
        <w:rPr>
          <w:rFonts w:eastAsia="Times New Roman" w:cs="Calibri"/>
          <w:lang w:val="lt-LT"/>
        </w:rPr>
      </w:r>
    </w:p>
    <w:p>
      <w:pPr>
        <w:pStyle w:val="Standard"/>
        <w:suppressAutoHyphens w:val="false"/>
        <w:spacing w:lineRule="auto" w:line="240" w:before="0" w:after="0"/>
        <w:rPr>
          <w:rFonts w:eastAsia="Times New Roman" w:cs="Calibri"/>
          <w:lang w:val="lt-LT"/>
        </w:rPr>
      </w:pPr>
      <w:r>
        <w:rPr>
          <w:rFonts w:eastAsia="Times New Roman" w:cs="Calibri"/>
          <w:lang w:val="lt-LT"/>
        </w:rPr>
      </w:r>
    </w:p>
    <w:p>
      <w:pPr>
        <w:pStyle w:val="Standard"/>
        <w:suppressAutoHyphens w:val="false"/>
        <w:spacing w:lineRule="auto" w:line="240" w:before="0" w:after="0"/>
        <w:rPr>
          <w:rFonts w:eastAsia="Times New Roman" w:cs="Calibri"/>
          <w:lang w:val="lt-LT"/>
        </w:rPr>
      </w:pPr>
      <w:r>
        <w:rPr>
          <w:rFonts w:eastAsia="Times New Roman" w:cs="Calibri"/>
          <w:lang w:val="lt-LT"/>
        </w:rPr>
      </w:r>
    </w:p>
    <w:p>
      <w:pPr>
        <w:pStyle w:val="Standard"/>
        <w:suppressAutoHyphens w:val="false"/>
        <w:spacing w:lineRule="auto" w:line="240" w:before="0" w:after="0"/>
        <w:rPr>
          <w:rFonts w:eastAsia="Times New Roman" w:cs="Calibri"/>
          <w:lang w:val="lt-LT"/>
        </w:rPr>
      </w:pPr>
      <w:r>
        <w:rPr>
          <w:rFonts w:eastAsia="Times New Roman" w:cs="Calibri"/>
          <w:lang w:val="lt-LT"/>
        </w:rPr>
      </w:r>
    </w:p>
    <w:sectPr>
      <w:footerReference w:type="even" r:id="rId21"/>
      <w:footerReference w:type="default" r:id="rId22"/>
      <w:footerReference w:type="first" r:id="rId23"/>
      <w:footnotePr>
        <w:numFmt w:val="decimal"/>
      </w:footnotePr>
      <w:type w:val="nextPage"/>
      <w:pgSz w:w="12240" w:h="15840"/>
      <w:pgMar w:left="1701" w:right="567" w:gutter="0" w:header="0" w:top="1134" w:footer="720" w:bottom="1134"/>
      <w:pgNumType w:start="1" w:fmt="decimal"/>
      <w:formProt w:val="false"/>
      <w:textDirection w:val="lrTb"/>
      <w:docGrid w:type="default" w:linePitch="100" w:charSpace="114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swiss"/>
    <w:pitch w:val="variable"/>
  </w:font>
  <w:font w:name="Calibri Light">
    <w:charset w:val="00"/>
    <w:family w:val="roman"/>
    <w:pitch w:val="variable"/>
  </w:font>
  <w:font w:name="Segoe U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w:charset w:val="00"/>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24</w:t>
    </w:r>
    <w:r>
      <w:rPr/>
      <w:fldChar w:fldCharType="end"/>
    </w:r>
  </w:p>
  <w:p>
    <w:pPr>
      <w:pStyle w:val="Footer"/>
      <w:spacing w:before="0" w:after="160"/>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24</w:t>
    </w:r>
    <w:r>
      <w:rPr/>
      <w:fldChar w:fldCharType="end"/>
    </w:r>
  </w:p>
  <w:p>
    <w:pPr>
      <w:pStyle w:val="Footer"/>
      <w:spacing w:before="0" w:after="160"/>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
        <w:spacing w:lineRule="auto" w:line="240" w:before="0" w:after="0"/>
        <w:jc w:val="both"/>
        <w:rPr/>
      </w:pPr>
      <w:r>
        <w:rPr>
          <w:rStyle w:val="Inaosramenys"/>
        </w:rPr>
        <w:footnoteRef/>
      </w:r>
      <w:r>
        <w:rPr>
          <w:rFonts w:eastAsia="Yu Mincho" w:cs="Arial"/>
          <w:i/>
          <w:iCs/>
          <w:sz w:val="16"/>
          <w:szCs w:val="16"/>
        </w:rPr>
        <w:t xml:space="preserve"> </w:t>
      </w:r>
      <w:r>
        <w:rPr>
          <w:rFonts w:eastAsia="Yu Mincho"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numPr>
          <w:ilvl w:val="0"/>
          <w:numId w:val="7"/>
        </w:numPr>
        <w:spacing w:lineRule="auto" w:line="240" w:before="0" w:after="0"/>
        <w:jc w:val="both"/>
        <w:rPr/>
      </w:pPr>
      <w:r>
        <w:rPr>
          <w:rFonts w:eastAsia="Yu Mincho" w:cs="Arial"/>
          <w:i/>
          <w:iCs/>
          <w:sz w:val="16"/>
          <w:szCs w:val="16"/>
        </w:rPr>
        <w:t>priesaikos deklaracija;</w:t>
      </w:r>
    </w:p>
    <w:p>
      <w:pPr>
        <w:pStyle w:val="Footnote"/>
        <w:numPr>
          <w:ilvl w:val="0"/>
          <w:numId w:val="3"/>
        </w:numPr>
        <w:spacing w:lineRule="auto" w:line="240" w:before="0" w:after="0"/>
        <w:jc w:val="both"/>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
        <w:spacing w:lineRule="auto" w:line="240"/>
        <w:jc w:val="both"/>
        <w:rPr/>
      </w:pPr>
      <w:r>
        <w:rPr>
          <w:rStyle w:val="Inaosramenys"/>
        </w:rPr>
        <w:footnoteRef/>
      </w:r>
      <w:r>
        <w:rPr>
          <w:rFonts w:eastAsia="Yu Mincho" w:cs="Arial"/>
          <w:sz w:val="16"/>
          <w:szCs w:val="16"/>
        </w:rPr>
        <w:t xml:space="preserve"> </w:t>
      </w:r>
      <w:r>
        <w:rPr>
          <w:rFonts w:eastAsia="Yu Mincho"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numPr>
          <w:ilvl w:val="0"/>
          <w:numId w:val="10"/>
        </w:numPr>
        <w:spacing w:lineRule="auto" w:line="240" w:before="0" w:after="0"/>
        <w:ind w:hanging="357" w:left="714"/>
        <w:jc w:val="both"/>
        <w:rPr/>
      </w:pPr>
      <w:r>
        <w:rPr>
          <w:rFonts w:eastAsia="Yu Mincho" w:cs="Arial"/>
          <w:i/>
          <w:iCs/>
          <w:sz w:val="16"/>
          <w:szCs w:val="16"/>
        </w:rPr>
        <w:t>priesaikos deklaracija;</w:t>
      </w:r>
    </w:p>
    <w:p>
      <w:pPr>
        <w:pStyle w:val="Footnote"/>
        <w:numPr>
          <w:ilvl w:val="0"/>
          <w:numId w:val="4"/>
        </w:numPr>
        <w:spacing w:lineRule="auto" w:line="240" w:before="0" w:after="0"/>
        <w:ind w:hanging="357" w:left="714"/>
        <w:jc w:val="both"/>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
        <w:spacing w:lineRule="auto" w:line="240" w:before="0" w:after="0"/>
        <w:jc w:val="both"/>
        <w:rPr/>
      </w:pPr>
      <w:r>
        <w:rPr>
          <w:rStyle w:val="Inaosramenys"/>
        </w:rPr>
        <w:footnoteRef/>
      </w:r>
      <w:r>
        <w:rPr>
          <w:rFonts w:eastAsia="Yu Mincho" w:cs="Arial"/>
          <w:sz w:val="16"/>
          <w:szCs w:val="16"/>
        </w:rPr>
        <w:t xml:space="preserve"> </w:t>
      </w:r>
      <w:r>
        <w:rPr>
          <w:rFonts w:eastAsia="Yu Mincho"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numPr>
          <w:ilvl w:val="0"/>
          <w:numId w:val="11"/>
        </w:numPr>
        <w:spacing w:lineRule="auto" w:line="240" w:before="0" w:after="0"/>
        <w:jc w:val="both"/>
        <w:rPr/>
      </w:pPr>
      <w:r>
        <w:rPr>
          <w:rFonts w:eastAsia="Yu Mincho" w:cs="Arial"/>
          <w:i/>
          <w:iCs/>
          <w:sz w:val="16"/>
          <w:szCs w:val="16"/>
        </w:rPr>
        <w:t>priesaikos deklaracija;</w:t>
      </w:r>
    </w:p>
    <w:p>
      <w:pPr>
        <w:pStyle w:val="Footnote"/>
        <w:numPr>
          <w:ilvl w:val="0"/>
          <w:numId w:val="5"/>
        </w:numPr>
        <w:spacing w:lineRule="auto" w:line="240" w:before="0" w:after="0"/>
        <w:ind w:hanging="357" w:left="714"/>
        <w:jc w:val="both"/>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09" w:hanging="709"/>
      </w:pPr>
      <w:rPr>
        <w:b/>
      </w:rPr>
    </w:lvl>
    <w:lvl w:ilvl="1">
      <w:start w:val="1"/>
      <w:numFmt w:val="decimal"/>
      <w:lvlText w:val="%1.%2."/>
      <w:lvlJc w:val="left"/>
      <w:pPr>
        <w:tabs>
          <w:tab w:val="num" w:pos="0"/>
        </w:tabs>
        <w:ind w:left="709" w:hanging="709"/>
      </w:pPr>
      <w:rPr>
        <w:b w:val="false"/>
        <w:color w:val="auto"/>
      </w:rPr>
    </w:lvl>
    <w:lvl w:ilvl="2">
      <w:start w:val="1"/>
      <w:numFmt w:val="decimal"/>
      <w:lvlText w:val="%1.%2.%3."/>
      <w:lvlJc w:val="left"/>
      <w:pPr>
        <w:tabs>
          <w:tab w:val="num" w:pos="0"/>
        </w:tabs>
        <w:ind w:left="992" w:hanging="992"/>
      </w:pPr>
      <w:rPr>
        <w:b w:val="false"/>
      </w:rPr>
    </w:lvl>
    <w:lvl w:ilvl="3">
      <w:start w:val="1"/>
      <w:numFmt w:val="decimal"/>
      <w:lvlText w:val="%1.%2.%3.%4."/>
      <w:lvlJc w:val="left"/>
      <w:pPr>
        <w:tabs>
          <w:tab w:val="num" w:pos="0"/>
        </w:tabs>
        <w:ind w:left="992" w:hanging="992"/>
      </w:pPr>
      <w:rPr/>
    </w:lvl>
    <w:lvl w:ilvl="4">
      <w:start w:val="1"/>
      <w:numFmt w:val="decimal"/>
      <w:lvlText w:val="%5)"/>
      <w:lvlJc w:val="left"/>
      <w:pPr>
        <w:tabs>
          <w:tab w:val="num" w:pos="0"/>
        </w:tabs>
        <w:ind w:left="1008" w:hanging="432"/>
      </w:pPr>
      <w:rPr/>
    </w:lvl>
    <w:lvl w:ilvl="5">
      <w:start w:val="1"/>
      <w:numFmt w:val="lowerLetter"/>
      <w:lvlText w:val="%6)"/>
      <w:lvlJc w:val="left"/>
      <w:pPr>
        <w:tabs>
          <w:tab w:val="num" w:pos="0"/>
        </w:tabs>
        <w:ind w:left="1152" w:hanging="432"/>
      </w:pPr>
      <w:rPr/>
    </w:lvl>
    <w:lvl w:ilvl="6">
      <w:start w:val="1"/>
      <w:numFmt w:val="lowerRoman"/>
      <w:lvlText w:val="%7)"/>
      <w:lvlJc w:val="right"/>
      <w:pPr>
        <w:tabs>
          <w:tab w:val="num" w:pos="0"/>
        </w:tabs>
        <w:ind w:left="1296" w:hanging="288"/>
      </w:pPr>
      <w:rPr/>
    </w:lvl>
    <w:lvl w:ilvl="7">
      <w:start w:val="1"/>
      <w:numFmt w:val="lowerLetter"/>
      <w:lvlText w:val="%8."/>
      <w:lvlJc w:val="left"/>
      <w:pPr>
        <w:tabs>
          <w:tab w:val="num" w:pos="0"/>
        </w:tabs>
        <w:ind w:left="1440" w:hanging="432"/>
      </w:pPr>
      <w:rPr/>
    </w:lvl>
    <w:lvl w:ilvl="8">
      <w:start w:val="1"/>
      <w:numFmt w:val="lowerRoman"/>
      <w:lvlText w:val="%9."/>
      <w:lvlJc w:val="right"/>
      <w:pPr>
        <w:tabs>
          <w:tab w:val="num" w:pos="0"/>
        </w:tabs>
        <w:ind w:left="1584" w:hanging="144"/>
      </w:pPr>
      <w:rPr/>
    </w:lvl>
  </w:abstractNum>
  <w:abstractNum w:abstractNumId="2">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1855" w:hanging="720"/>
      </w:pPr>
      <w:rPr>
        <w:i w:val="false"/>
        <w:iCs/>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3">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7">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9">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1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numFmt w:val="bullet"/>
      <w:lvlText w:val="–"/>
      <w:lvlJc w:val="left"/>
      <w:pPr>
        <w:tabs>
          <w:tab w:val="num" w:pos="0"/>
        </w:tabs>
        <w:ind w:left="2160" w:hanging="360"/>
      </w:pPr>
      <w:rPr>
        <w:rFonts w:ascii="Times New Roman" w:hAnsi="Times New Roman" w:cs="Times New Roman" w:hint="default"/>
      </w:rPr>
    </w:lvl>
    <w:lvl w:ilvl="1">
      <w:start w:val="0"/>
      <w:numFmt w:val="bullet"/>
      <w:lvlText w:val="o"/>
      <w:lvlJc w:val="left"/>
      <w:pPr>
        <w:tabs>
          <w:tab w:val="num" w:pos="0"/>
        </w:tabs>
        <w:ind w:left="2880" w:hanging="360"/>
      </w:pPr>
      <w:rPr>
        <w:rFonts w:ascii="Courier New" w:hAnsi="Courier New" w:cs="Courier New" w:hint="default"/>
      </w:rPr>
    </w:lvl>
    <w:lvl w:ilvl="2">
      <w:start w:val="0"/>
      <w:numFmt w:val="bullet"/>
      <w:lvlText w:val=""/>
      <w:lvlJc w:val="left"/>
      <w:pPr>
        <w:tabs>
          <w:tab w:val="num" w:pos="0"/>
        </w:tabs>
        <w:ind w:left="3600" w:hanging="360"/>
      </w:pPr>
      <w:rPr>
        <w:rFonts w:ascii="Wingdings" w:hAnsi="Wingdings" w:cs="Wingdings" w:hint="default"/>
      </w:rPr>
    </w:lvl>
    <w:lvl w:ilvl="3">
      <w:start w:val="0"/>
      <w:numFmt w:val="bullet"/>
      <w:lvlText w:val=""/>
      <w:lvlJc w:val="left"/>
      <w:pPr>
        <w:tabs>
          <w:tab w:val="num" w:pos="0"/>
        </w:tabs>
        <w:ind w:left="4320" w:hanging="360"/>
      </w:pPr>
      <w:rPr>
        <w:rFonts w:ascii="Symbol" w:hAnsi="Symbol" w:cs="Symbol" w:hint="default"/>
      </w:rPr>
    </w:lvl>
    <w:lvl w:ilvl="4">
      <w:start w:val="0"/>
      <w:numFmt w:val="bullet"/>
      <w:lvlText w:val="o"/>
      <w:lvlJc w:val="left"/>
      <w:pPr>
        <w:tabs>
          <w:tab w:val="num" w:pos="0"/>
        </w:tabs>
        <w:ind w:left="5040" w:hanging="360"/>
      </w:pPr>
      <w:rPr>
        <w:rFonts w:ascii="Courier New" w:hAnsi="Courier New" w:cs="Courier New" w:hint="default"/>
      </w:rPr>
    </w:lvl>
    <w:lvl w:ilvl="5">
      <w:start w:val="0"/>
      <w:numFmt w:val="bullet"/>
      <w:lvlText w:val=""/>
      <w:lvlJc w:val="left"/>
      <w:pPr>
        <w:tabs>
          <w:tab w:val="num" w:pos="0"/>
        </w:tabs>
        <w:ind w:left="5760" w:hanging="360"/>
      </w:pPr>
      <w:rPr>
        <w:rFonts w:ascii="Wingdings" w:hAnsi="Wingdings" w:cs="Wingdings" w:hint="default"/>
      </w:rPr>
    </w:lvl>
    <w:lvl w:ilvl="6">
      <w:start w:val="0"/>
      <w:numFmt w:val="bullet"/>
      <w:lvlText w:val=""/>
      <w:lvlJc w:val="left"/>
      <w:pPr>
        <w:tabs>
          <w:tab w:val="num" w:pos="0"/>
        </w:tabs>
        <w:ind w:left="6480" w:hanging="360"/>
      </w:pPr>
      <w:rPr>
        <w:rFonts w:ascii="Symbol" w:hAnsi="Symbol" w:cs="Symbol" w:hint="default"/>
      </w:rPr>
    </w:lvl>
    <w:lvl w:ilvl="7">
      <w:start w:val="0"/>
      <w:numFmt w:val="bullet"/>
      <w:lvlText w:val="o"/>
      <w:lvlJc w:val="left"/>
      <w:pPr>
        <w:tabs>
          <w:tab w:val="num" w:pos="0"/>
        </w:tabs>
        <w:ind w:left="7200" w:hanging="360"/>
      </w:pPr>
      <w:rPr>
        <w:rFonts w:ascii="Courier New" w:hAnsi="Courier New" w:cs="Courier New" w:hint="default"/>
      </w:rPr>
    </w:lvl>
    <w:lvl w:ilvl="8">
      <w:start w:val="0"/>
      <w:numFmt w:val="bullet"/>
      <w:lvlText w:val=""/>
      <w:lvlJc w:val="left"/>
      <w:pPr>
        <w:tabs>
          <w:tab w:val="num" w:pos="0"/>
        </w:tabs>
        <w:ind w:left="7920" w:hanging="360"/>
      </w:pPr>
      <w:rPr>
        <w:rFonts w:ascii="Wingdings" w:hAnsi="Wingdings" w:cs="Wingdings" w:hint="default"/>
      </w:rPr>
    </w:lvl>
  </w:abstractNum>
  <w:abstractNum w:abstractNumId="13">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4">
    <w:lvl w:ilvl="0">
      <w:start w:val="1"/>
      <w:numFmt w:val="decimal"/>
      <w:lvlText w:val="%1."/>
      <w:lvlJc w:val="left"/>
      <w:pPr>
        <w:tabs>
          <w:tab w:val="num" w:pos="0"/>
        </w:tabs>
        <w:ind w:left="360" w:hanging="360"/>
      </w:pPr>
      <w:rPr>
        <w:sz w:val="21"/>
        <w:i w:val="false"/>
        <w:b w:val="false"/>
        <w:szCs w:val="21"/>
        <w:iCs/>
        <w:bCs w:val="false"/>
        <w:rFonts w:ascii="Calibri" w:hAnsi="Calibri" w:cs="Calibri"/>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5">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16">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17">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18">
    <w:lvl w:ilvl="0">
      <w:start w:val="1"/>
      <w:numFmt w:val="decimal"/>
      <w:lvlText w:val="%1."/>
      <w:lvlJc w:val="left"/>
      <w:pPr>
        <w:tabs>
          <w:tab w:val="num" w:pos="0"/>
        </w:tabs>
        <w:ind w:left="360" w:hanging="360"/>
      </w:pPr>
      <w:rPr>
        <w:sz w:val="21"/>
        <w:i w:val="false"/>
        <w:b w:val="false"/>
        <w:szCs w:val="21"/>
        <w:iCs/>
        <w:bCs w:val="false"/>
        <w:rFonts w:ascii="Calibri" w:hAnsi="Calibri" w:cs="Calibri"/>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9">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0">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1">
    <w:lvl w:ilvl="0">
      <w:start w:val="1"/>
      <w:numFmt w:val="decimal"/>
      <w:lvlText w:val="%1."/>
      <w:lvlJc w:val="left"/>
      <w:pPr>
        <w:tabs>
          <w:tab w:val="num" w:pos="0"/>
        </w:tabs>
        <w:ind w:left="360" w:hanging="360"/>
      </w:pPr>
      <w:rPr>
        <w:sz w:val="21"/>
        <w:i w:val="false"/>
        <w:b w:val="false"/>
        <w:szCs w:val="21"/>
        <w:iCs/>
        <w:bCs w:val="false"/>
        <w:rFonts w:ascii="Calibri" w:hAnsi="Calibri" w:cs="Calibri"/>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2">
    <w:lvl w:ilvl="0">
      <w:start w:val="1"/>
      <w:numFmt w:val="decimal"/>
      <w:lvlText w:val="%1."/>
      <w:lvlJc w:val="left"/>
      <w:pPr>
        <w:tabs>
          <w:tab w:val="num" w:pos="0"/>
        </w:tabs>
        <w:ind w:left="360" w:hanging="360"/>
      </w:pPr>
      <w:rPr>
        <w:sz w:val="21"/>
        <w:i w:val="false"/>
        <w:b w:val="false"/>
        <w:szCs w:val="21"/>
        <w:iCs/>
        <w:bCs w:val="false"/>
        <w:rFonts w:ascii="Calibri" w:hAnsi="Calibri" w:cs="Calibri"/>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3">
    <w:lvl w:ilvl="0">
      <w:start w:val="1"/>
      <w:numFmt w:val="decimal"/>
      <w:lvlText w:val="%1."/>
      <w:lvlJc w:val="left"/>
      <w:pPr>
        <w:tabs>
          <w:tab w:val="num" w:pos="0"/>
        </w:tabs>
        <w:ind w:left="360" w:hanging="360"/>
      </w:pPr>
      <w:rPr>
        <w:sz w:val="21"/>
        <w:i w:val="false"/>
        <w:b w:val="false"/>
        <w:szCs w:val="21"/>
        <w:iCs/>
        <w:bCs w:val="false"/>
        <w:rFonts w:ascii="Calibri" w:hAnsi="Calibri" w:cs="Calibri"/>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4">
    <w:lvl w:ilvl="0">
      <w:start w:val="1"/>
      <w:numFmt w:val="decimal"/>
      <w:lvlText w:val="%1."/>
      <w:lvlJc w:val="left"/>
      <w:pPr>
        <w:tabs>
          <w:tab w:val="num" w:pos="0"/>
        </w:tabs>
        <w:ind w:left="360" w:hanging="360"/>
      </w:pPr>
      <w:rPr>
        <w:sz w:val="21"/>
        <w:i w:val="false"/>
        <w:b w:val="false"/>
        <w:szCs w:val="21"/>
        <w:iCs/>
        <w:bCs w:val="false"/>
        <w:rFonts w:ascii="Calibri" w:hAnsi="Calibri" w:cs="Calibri"/>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5">
    <w:lvl w:ilvl="0">
      <w:start w:val="1"/>
      <w:numFmt w:val="decimal"/>
      <w:lvlText w:val="%1."/>
      <w:lvlJc w:val="left"/>
      <w:pPr>
        <w:tabs>
          <w:tab w:val="num" w:pos="0"/>
        </w:tabs>
        <w:ind w:left="360" w:hanging="360"/>
      </w:pPr>
      <w:rPr>
        <w:sz w:val="21"/>
        <w:i w:val="false"/>
        <w:b w:val="false"/>
        <w:szCs w:val="21"/>
        <w:iCs/>
        <w:bCs w:val="false"/>
        <w:rFonts w:ascii="Calibri" w:hAnsi="Calibri" w:cs="Calibri"/>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6">
    <w:lvl w:ilvl="0">
      <w:start w:val="1"/>
      <w:numFmt w:val="decimal"/>
      <w:lvlText w:val="%1."/>
      <w:lvlJc w:val="left"/>
      <w:pPr>
        <w:tabs>
          <w:tab w:val="num" w:pos="0"/>
        </w:tabs>
        <w:ind w:left="360" w:hanging="360"/>
      </w:pPr>
      <w:rPr>
        <w:sz w:val="21"/>
        <w:i w:val="false"/>
        <w:b w:val="false"/>
        <w:szCs w:val="21"/>
        <w:iCs/>
        <w:bCs w:val="false"/>
        <w:rFonts w:ascii="Calibri" w:hAnsi="Calibri" w:cs="Calibri"/>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7">
    <w:lvl w:ilvl="0">
      <w:start w:val="1"/>
      <w:numFmt w:val="decimal"/>
      <w:lvlText w:val="%1."/>
      <w:lvlJc w:val="left"/>
      <w:pPr>
        <w:tabs>
          <w:tab w:val="num" w:pos="0"/>
        </w:tabs>
        <w:ind w:left="360" w:hanging="360"/>
      </w:pPr>
      <w:rPr>
        <w:sz w:val="21"/>
        <w:i w:val="false"/>
        <w:b w:val="false"/>
        <w:szCs w:val="21"/>
        <w:iCs/>
        <w:bCs w:val="false"/>
        <w:rFonts w:ascii="Calibri" w:hAnsi="Calibri" w:cs="Calibri"/>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8">
    <w:lvl w:ilvl="0">
      <w:start w:val="1"/>
      <w:numFmt w:val="decimal"/>
      <w:lvlText w:val="%1."/>
      <w:lvlJc w:val="left"/>
      <w:pPr>
        <w:tabs>
          <w:tab w:val="num" w:pos="0"/>
        </w:tabs>
        <w:ind w:left="360" w:hanging="360"/>
      </w:pPr>
      <w:rPr>
        <w:sz w:val="21"/>
        <w:i w:val="false"/>
        <w:b w:val="false"/>
        <w:szCs w:val="21"/>
        <w:iCs/>
        <w:bCs w:val="false"/>
        <w:rFonts w:ascii="Calibri" w:hAnsi="Calibri" w:cs="Calibri"/>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9">
    <w:lvl w:ilvl="0">
      <w:start w:val="1"/>
      <w:numFmt w:val="decimal"/>
      <w:lvlText w:val="%1."/>
      <w:lvlJc w:val="left"/>
      <w:pPr>
        <w:tabs>
          <w:tab w:val="num" w:pos="0"/>
        </w:tabs>
        <w:ind w:left="360" w:hanging="360"/>
      </w:pPr>
      <w:rPr>
        <w:sz w:val="21"/>
        <w:i w:val="false"/>
        <w:b w:val="false"/>
        <w:szCs w:val="21"/>
        <w:iCs/>
        <w:bCs w:val="false"/>
        <w:rFonts w:ascii="Calibri" w:hAnsi="Calibri" w:cs="Calibri"/>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30">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1">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2">
    <w:lvl w:ilvl="0">
      <w:numFmt w:val="bullet"/>
      <w:lvlText w:val="–"/>
      <w:lvlJc w:val="left"/>
      <w:pPr>
        <w:tabs>
          <w:tab w:val="num" w:pos="0"/>
        </w:tabs>
        <w:ind w:left="2160" w:hanging="360"/>
      </w:pPr>
      <w:rPr>
        <w:rFonts w:ascii="Times New Roman" w:hAnsi="Times New Roman" w:cs="Times New Roman" w:hint="default"/>
      </w:rPr>
    </w:lvl>
    <w:lvl w:ilvl="1">
      <w:start w:val="0"/>
      <w:numFmt w:val="bullet"/>
      <w:lvlText w:val="o"/>
      <w:lvlJc w:val="left"/>
      <w:pPr>
        <w:tabs>
          <w:tab w:val="num" w:pos="0"/>
        </w:tabs>
        <w:ind w:left="2880" w:hanging="360"/>
      </w:pPr>
      <w:rPr>
        <w:rFonts w:ascii="Courier New" w:hAnsi="Courier New" w:cs="Courier New" w:hint="default"/>
      </w:rPr>
    </w:lvl>
    <w:lvl w:ilvl="2">
      <w:start w:val="0"/>
      <w:numFmt w:val="bullet"/>
      <w:lvlText w:val=""/>
      <w:lvlJc w:val="left"/>
      <w:pPr>
        <w:tabs>
          <w:tab w:val="num" w:pos="0"/>
        </w:tabs>
        <w:ind w:left="3600" w:hanging="360"/>
      </w:pPr>
      <w:rPr>
        <w:rFonts w:ascii="Wingdings" w:hAnsi="Wingdings" w:cs="Wingdings" w:hint="default"/>
      </w:rPr>
    </w:lvl>
    <w:lvl w:ilvl="3">
      <w:start w:val="0"/>
      <w:numFmt w:val="bullet"/>
      <w:lvlText w:val=""/>
      <w:lvlJc w:val="left"/>
      <w:pPr>
        <w:tabs>
          <w:tab w:val="num" w:pos="0"/>
        </w:tabs>
        <w:ind w:left="4320" w:hanging="360"/>
      </w:pPr>
      <w:rPr>
        <w:rFonts w:ascii="Symbol" w:hAnsi="Symbol" w:cs="Symbol" w:hint="default"/>
      </w:rPr>
    </w:lvl>
    <w:lvl w:ilvl="4">
      <w:start w:val="0"/>
      <w:numFmt w:val="bullet"/>
      <w:lvlText w:val="o"/>
      <w:lvlJc w:val="left"/>
      <w:pPr>
        <w:tabs>
          <w:tab w:val="num" w:pos="0"/>
        </w:tabs>
        <w:ind w:left="5040" w:hanging="360"/>
      </w:pPr>
      <w:rPr>
        <w:rFonts w:ascii="Courier New" w:hAnsi="Courier New" w:cs="Courier New" w:hint="default"/>
      </w:rPr>
    </w:lvl>
    <w:lvl w:ilvl="5">
      <w:start w:val="0"/>
      <w:numFmt w:val="bullet"/>
      <w:lvlText w:val=""/>
      <w:lvlJc w:val="left"/>
      <w:pPr>
        <w:tabs>
          <w:tab w:val="num" w:pos="0"/>
        </w:tabs>
        <w:ind w:left="5760" w:hanging="360"/>
      </w:pPr>
      <w:rPr>
        <w:rFonts w:ascii="Wingdings" w:hAnsi="Wingdings" w:cs="Wingdings" w:hint="default"/>
      </w:rPr>
    </w:lvl>
    <w:lvl w:ilvl="6">
      <w:start w:val="0"/>
      <w:numFmt w:val="bullet"/>
      <w:lvlText w:val=""/>
      <w:lvlJc w:val="left"/>
      <w:pPr>
        <w:tabs>
          <w:tab w:val="num" w:pos="0"/>
        </w:tabs>
        <w:ind w:left="6480" w:hanging="360"/>
      </w:pPr>
      <w:rPr>
        <w:rFonts w:ascii="Symbol" w:hAnsi="Symbol" w:cs="Symbol" w:hint="default"/>
      </w:rPr>
    </w:lvl>
    <w:lvl w:ilvl="7">
      <w:start w:val="0"/>
      <w:numFmt w:val="bullet"/>
      <w:lvlText w:val="o"/>
      <w:lvlJc w:val="left"/>
      <w:pPr>
        <w:tabs>
          <w:tab w:val="num" w:pos="0"/>
        </w:tabs>
        <w:ind w:left="7200" w:hanging="360"/>
      </w:pPr>
      <w:rPr>
        <w:rFonts w:ascii="Courier New" w:hAnsi="Courier New" w:cs="Courier New" w:hint="default"/>
      </w:rPr>
    </w:lvl>
    <w:lvl w:ilvl="8">
      <w:start w:val="0"/>
      <w:numFmt w:val="bullet"/>
      <w:lvlText w:val=""/>
      <w:lvlJc w:val="left"/>
      <w:pPr>
        <w:tabs>
          <w:tab w:val="num" w:pos="0"/>
        </w:tabs>
        <w:ind w:left="7920" w:hanging="360"/>
      </w:pPr>
      <w:rPr>
        <w:rFonts w:ascii="Wingdings" w:hAnsi="Wingdings" w:cs="Wingdings" w:hint="default"/>
      </w:rPr>
    </w:lvl>
  </w:abstractNum>
  <w:abstractNum w:abstractNumId="33">
    <w:lvl w:ilvl="0">
      <w:numFmt w:val="bullet"/>
      <w:lvlText w:val="–"/>
      <w:lvlJc w:val="left"/>
      <w:pPr>
        <w:tabs>
          <w:tab w:val="num" w:pos="0"/>
        </w:tabs>
        <w:ind w:left="2160" w:hanging="360"/>
      </w:pPr>
      <w:rPr>
        <w:rFonts w:ascii="Times New Roman" w:hAnsi="Times New Roman" w:cs="Times New Roman" w:hint="default"/>
      </w:rPr>
    </w:lvl>
    <w:lvl w:ilvl="1">
      <w:start w:val="0"/>
      <w:numFmt w:val="bullet"/>
      <w:lvlText w:val="o"/>
      <w:lvlJc w:val="left"/>
      <w:pPr>
        <w:tabs>
          <w:tab w:val="num" w:pos="0"/>
        </w:tabs>
        <w:ind w:left="2880" w:hanging="360"/>
      </w:pPr>
      <w:rPr>
        <w:rFonts w:ascii="Courier New" w:hAnsi="Courier New" w:cs="Courier New" w:hint="default"/>
      </w:rPr>
    </w:lvl>
    <w:lvl w:ilvl="2">
      <w:start w:val="0"/>
      <w:numFmt w:val="bullet"/>
      <w:lvlText w:val=""/>
      <w:lvlJc w:val="left"/>
      <w:pPr>
        <w:tabs>
          <w:tab w:val="num" w:pos="0"/>
        </w:tabs>
        <w:ind w:left="3600" w:hanging="360"/>
      </w:pPr>
      <w:rPr>
        <w:rFonts w:ascii="Wingdings" w:hAnsi="Wingdings" w:cs="Wingdings" w:hint="default"/>
      </w:rPr>
    </w:lvl>
    <w:lvl w:ilvl="3">
      <w:start w:val="0"/>
      <w:numFmt w:val="bullet"/>
      <w:lvlText w:val=""/>
      <w:lvlJc w:val="left"/>
      <w:pPr>
        <w:tabs>
          <w:tab w:val="num" w:pos="0"/>
        </w:tabs>
        <w:ind w:left="4320" w:hanging="360"/>
      </w:pPr>
      <w:rPr>
        <w:rFonts w:ascii="Symbol" w:hAnsi="Symbol" w:cs="Symbol" w:hint="default"/>
      </w:rPr>
    </w:lvl>
    <w:lvl w:ilvl="4">
      <w:start w:val="0"/>
      <w:numFmt w:val="bullet"/>
      <w:lvlText w:val="o"/>
      <w:lvlJc w:val="left"/>
      <w:pPr>
        <w:tabs>
          <w:tab w:val="num" w:pos="0"/>
        </w:tabs>
        <w:ind w:left="5040" w:hanging="360"/>
      </w:pPr>
      <w:rPr>
        <w:rFonts w:ascii="Courier New" w:hAnsi="Courier New" w:cs="Courier New" w:hint="default"/>
      </w:rPr>
    </w:lvl>
    <w:lvl w:ilvl="5">
      <w:start w:val="0"/>
      <w:numFmt w:val="bullet"/>
      <w:lvlText w:val=""/>
      <w:lvlJc w:val="left"/>
      <w:pPr>
        <w:tabs>
          <w:tab w:val="num" w:pos="0"/>
        </w:tabs>
        <w:ind w:left="5760" w:hanging="360"/>
      </w:pPr>
      <w:rPr>
        <w:rFonts w:ascii="Wingdings" w:hAnsi="Wingdings" w:cs="Wingdings" w:hint="default"/>
      </w:rPr>
    </w:lvl>
    <w:lvl w:ilvl="6">
      <w:start w:val="0"/>
      <w:numFmt w:val="bullet"/>
      <w:lvlText w:val=""/>
      <w:lvlJc w:val="left"/>
      <w:pPr>
        <w:tabs>
          <w:tab w:val="num" w:pos="0"/>
        </w:tabs>
        <w:ind w:left="6480" w:hanging="360"/>
      </w:pPr>
      <w:rPr>
        <w:rFonts w:ascii="Symbol" w:hAnsi="Symbol" w:cs="Symbol" w:hint="default"/>
      </w:rPr>
    </w:lvl>
    <w:lvl w:ilvl="7">
      <w:start w:val="0"/>
      <w:numFmt w:val="bullet"/>
      <w:lvlText w:val="o"/>
      <w:lvlJc w:val="left"/>
      <w:pPr>
        <w:tabs>
          <w:tab w:val="num" w:pos="0"/>
        </w:tabs>
        <w:ind w:left="7200" w:hanging="360"/>
      </w:pPr>
      <w:rPr>
        <w:rFonts w:ascii="Courier New" w:hAnsi="Courier New" w:cs="Courier New" w:hint="default"/>
      </w:rPr>
    </w:lvl>
    <w:lvl w:ilvl="8">
      <w:start w:val="0"/>
      <w:numFmt w:val="bullet"/>
      <w:lvlText w:val=""/>
      <w:lvlJc w:val="left"/>
      <w:pPr>
        <w:tabs>
          <w:tab w:val="num" w:pos="0"/>
        </w:tabs>
        <w:ind w:left="7920" w:hanging="360"/>
      </w:pPr>
      <w:rPr>
        <w:rFonts w:ascii="Wingdings" w:hAnsi="Wingdings" w:cs="Wingdings" w:hint="default"/>
      </w:rPr>
    </w:lvl>
  </w:abstractNum>
  <w:abstractNum w:abstractNumId="3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13"/>
    <w:lvlOverride w:ilvl="0">
      <w:startOverride w:val="1"/>
    </w:lvlOverride>
  </w:num>
  <w:num w:numId="36">
    <w:abstractNumId w:val="14"/>
    <w:lvlOverride w:ilvl="0">
      <w:startOverride w:val="1"/>
    </w:lvlOverride>
  </w:num>
  <w:num w:numId="37">
    <w:abstractNumId w:val="6"/>
  </w:num>
  <w:num w:numId="38">
    <w:abstractNumId w:val="6"/>
  </w:num>
  <w:num w:numId="39">
    <w:abstractNumId w:val="6"/>
  </w:num>
  <w:num w:numId="40">
    <w:abstractNumId w:val="14"/>
  </w:num>
  <w:num w:numId="41">
    <w:abstractNumId w:val="8"/>
  </w:num>
  <w:num w:numId="42">
    <w:abstractNumId w:val="9"/>
  </w:num>
  <w:num w:numId="43">
    <w:abstractNumId w:val="14"/>
  </w:num>
  <w:num w:numId="44">
    <w:abstractNumId w:val="14"/>
  </w:num>
  <w:num w:numId="45">
    <w:abstractNumId w:val="14"/>
  </w:num>
  <w:num w:numId="46">
    <w:abstractNumId w:val="14"/>
  </w:num>
  <w:num w:numId="47">
    <w:abstractNumId w:val="14"/>
  </w:num>
  <w:num w:numId="48">
    <w:abstractNumId w:val="14"/>
  </w:num>
  <w:num w:numId="49">
    <w:abstractNumId w:val="14"/>
  </w:num>
  <w:num w:numId="50">
    <w:abstractNumId w:val="14"/>
  </w:num>
  <w:num w:numId="51">
    <w:abstractNumId w:val="14"/>
  </w:num>
  <w:num w:numId="52">
    <w:abstractNumId w:val="30"/>
    <w:lvlOverride w:ilvl="0">
      <w:startOverride w:val="1"/>
    </w:lvlOverride>
  </w:num>
  <w:num w:numId="53">
    <w:abstractNumId w:val="30"/>
  </w:num>
  <w:num w:numId="54">
    <w:abstractNumId w:val="12"/>
  </w:num>
  <w:num w:numId="55">
    <w:abstractNumId w:val="12"/>
  </w:num>
</w:numbering>
</file>

<file path=word/settings.xml><?xml version="1.0" encoding="utf-8"?>
<w:settings xmlns:w="http://schemas.openxmlformats.org/wordprocessingml/2006/main">
  <w:zoom w:percent="120"/>
  <w:defaultTabStop w:val="720"/>
  <w:autoHyphenation w:val="true"/>
  <w:hyphenationZone w:val="396"/>
  <w:footnotePr>
    <w:numFmt w:val="decimal"/>
    <w:footnote w:id="0"/>
    <w:footnote w:id="1"/>
  </w:footnotePr>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Segoe UI" w:cs="Tahoma"/>
        <w:sz w:val="21"/>
        <w:szCs w:val="21"/>
        <w:lang w:val="lt-LT" w:eastAsia="lt-LT"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textAlignment w:val="baseline"/>
    </w:pPr>
    <w:rPr>
      <w:rFonts w:ascii="Calibri" w:hAnsi="Calibri" w:eastAsia="Segoe UI" w:cs="Tahoma"/>
      <w:color w:val="auto"/>
      <w:kern w:val="0"/>
      <w:sz w:val="21"/>
      <w:szCs w:val="21"/>
      <w:lang w:val="lt-LT" w:eastAsia="lt-LT" w:bidi="ar-SA"/>
    </w:rPr>
  </w:style>
  <w:style w:type="paragraph" w:styleId="Heading1">
    <w:name w:val="Heading 1"/>
    <w:basedOn w:val="Standard"/>
    <w:next w:val="Standard"/>
    <w:qFormat/>
    <w:pPr>
      <w:keepNext w:val="true"/>
      <w:keepLines/>
      <w:pBdr>
        <w:bottom w:val="single" w:sz="4" w:space="2" w:color="ED7D31"/>
      </w:pBdr>
      <w:spacing w:lineRule="auto" w:line="240" w:before="360" w:after="120"/>
      <w:outlineLvl w:val="0"/>
    </w:pPr>
    <w:rPr>
      <w:rFonts w:ascii="Calibri Light" w:hAnsi="Calibri Light"/>
      <w:color w:val="262626"/>
      <w:sz w:val="40"/>
      <w:szCs w:val="40"/>
    </w:rPr>
  </w:style>
  <w:style w:type="paragraph" w:styleId="Heading2">
    <w:name w:val="Heading 2"/>
    <w:basedOn w:val="Standard"/>
    <w:next w:val="Standard"/>
    <w:qFormat/>
    <w:pPr>
      <w:keepNext w:val="true"/>
      <w:keepLines/>
      <w:spacing w:lineRule="auto" w:line="240" w:before="120" w:after="0"/>
      <w:outlineLvl w:val="1"/>
    </w:pPr>
    <w:rPr>
      <w:rFonts w:ascii="Calibri Light" w:hAnsi="Calibri Light"/>
      <w:color w:val="ED7D31"/>
      <w:sz w:val="36"/>
      <w:szCs w:val="36"/>
    </w:rPr>
  </w:style>
  <w:style w:type="paragraph" w:styleId="Heading3">
    <w:name w:val="Heading 3"/>
    <w:basedOn w:val="Standard"/>
    <w:next w:val="Standard"/>
    <w:qFormat/>
    <w:pPr>
      <w:keepNext w:val="true"/>
      <w:keepLines/>
      <w:spacing w:lineRule="auto" w:line="240" w:before="80" w:after="0"/>
      <w:outlineLvl w:val="2"/>
    </w:pPr>
    <w:rPr>
      <w:rFonts w:ascii="Calibri Light" w:hAnsi="Calibri Light"/>
      <w:color w:val="C45911"/>
      <w:sz w:val="32"/>
      <w:szCs w:val="32"/>
    </w:rPr>
  </w:style>
  <w:style w:type="paragraph" w:styleId="Heading4">
    <w:name w:val="Heading 4"/>
    <w:basedOn w:val="Standard"/>
    <w:next w:val="Standard"/>
    <w:qFormat/>
    <w:pPr>
      <w:keepNext w:val="true"/>
      <w:keepLines/>
      <w:spacing w:lineRule="auto" w:line="240" w:before="80" w:after="0"/>
      <w:outlineLvl w:val="3"/>
    </w:pPr>
    <w:rPr>
      <w:rFonts w:ascii="Calibri Light" w:hAnsi="Calibri Light"/>
      <w:i/>
      <w:iCs/>
      <w:color w:val="833C0B"/>
      <w:sz w:val="28"/>
      <w:szCs w:val="28"/>
    </w:rPr>
  </w:style>
  <w:style w:type="paragraph" w:styleId="Heading5">
    <w:name w:val="Heading 5"/>
    <w:basedOn w:val="Standard"/>
    <w:next w:val="Standard"/>
    <w:qFormat/>
    <w:pPr>
      <w:keepNext w:val="true"/>
      <w:keepLines/>
      <w:spacing w:lineRule="auto" w:line="240" w:before="80" w:after="0"/>
      <w:outlineLvl w:val="4"/>
    </w:pPr>
    <w:rPr>
      <w:rFonts w:ascii="Calibri Light" w:hAnsi="Calibri Light"/>
      <w:color w:val="C45911"/>
      <w:sz w:val="24"/>
      <w:szCs w:val="24"/>
    </w:rPr>
  </w:style>
  <w:style w:type="paragraph" w:styleId="Heading6">
    <w:name w:val="Heading 6"/>
    <w:basedOn w:val="Standard"/>
    <w:next w:val="Standard"/>
    <w:qFormat/>
    <w:pPr>
      <w:keepNext w:val="true"/>
      <w:keepLines/>
      <w:spacing w:lineRule="auto" w:line="240" w:before="80" w:after="0"/>
      <w:outlineLvl w:val="5"/>
    </w:pPr>
    <w:rPr>
      <w:rFonts w:ascii="Calibri Light" w:hAnsi="Calibri Light"/>
      <w:i/>
      <w:iCs/>
      <w:color w:val="833C0B"/>
      <w:sz w:val="24"/>
      <w:szCs w:val="24"/>
    </w:rPr>
  </w:style>
  <w:style w:type="paragraph" w:styleId="Heading7">
    <w:name w:val="Heading 7"/>
    <w:basedOn w:val="Standard"/>
    <w:next w:val="Standard"/>
    <w:qFormat/>
    <w:pPr>
      <w:keepNext w:val="true"/>
      <w:keepLines/>
      <w:spacing w:lineRule="auto" w:line="240" w:before="80" w:after="0"/>
      <w:outlineLvl w:val="6"/>
    </w:pPr>
    <w:rPr>
      <w:rFonts w:ascii="Calibri Light" w:hAnsi="Calibri Light"/>
      <w:b/>
      <w:bCs/>
      <w:color w:val="833C0B"/>
      <w:sz w:val="22"/>
      <w:szCs w:val="22"/>
    </w:rPr>
  </w:style>
  <w:style w:type="paragraph" w:styleId="Heading8">
    <w:name w:val="Heading 8"/>
    <w:basedOn w:val="Standard"/>
    <w:next w:val="Standard"/>
    <w:qFormat/>
    <w:pPr>
      <w:keepNext w:val="true"/>
      <w:keepLines/>
      <w:spacing w:lineRule="auto" w:line="240" w:before="80" w:after="0"/>
      <w:outlineLvl w:val="7"/>
    </w:pPr>
    <w:rPr>
      <w:rFonts w:ascii="Calibri Light" w:hAnsi="Calibri Light"/>
      <w:color w:val="833C0B"/>
      <w:sz w:val="22"/>
      <w:szCs w:val="22"/>
    </w:rPr>
  </w:style>
  <w:style w:type="paragraph" w:styleId="Heading9">
    <w:name w:val="Heading 9"/>
    <w:basedOn w:val="Standard"/>
    <w:next w:val="Standard"/>
    <w:qFormat/>
    <w:pPr>
      <w:keepNext w:val="true"/>
      <w:keepLines/>
      <w:spacing w:lineRule="auto" w:line="240" w:before="80" w:after="0"/>
      <w:outlineLvl w:val="8"/>
    </w:pPr>
    <w:rPr>
      <w:rFonts w:ascii="Calibri Light" w:hAnsi="Calibri Light"/>
      <w:i/>
      <w:iCs/>
      <w:color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qFormat/>
    <w:rPr>
      <w:rFonts w:ascii="Calibri Light" w:hAnsi="Calibri Light" w:eastAsia="Segoe UI" w:cs="Tahoma"/>
      <w:color w:val="262626"/>
      <w:sz w:val="40"/>
      <w:szCs w:val="40"/>
    </w:rPr>
  </w:style>
  <w:style w:type="character" w:styleId="Internetlink" w:customStyle="1">
    <w:name w:val="Internet link"/>
    <w:qFormat/>
    <w:rPr>
      <w:color w:val="000080"/>
      <w:u w:val="single"/>
    </w:rPr>
  </w:style>
  <w:style w:type="character" w:styleId="FootnoteTextChar" w:customStyle="1">
    <w:name w:val="Footnote Text Char"/>
    <w:basedOn w:val="DefaultParagraphFont"/>
    <w:qFormat/>
    <w:rPr>
      <w:rFonts w:ascii="Times New Roman" w:hAnsi="Times New Roman" w:eastAsia="Times New Roman" w:cs="Times New Roman"/>
      <w:sz w:val="20"/>
      <w:szCs w:val="20"/>
      <w:lang w:eastAsia="en-US"/>
    </w:rPr>
  </w:style>
  <w:style w:type="character" w:styleId="CommentTextChar" w:customStyle="1">
    <w:name w:val="Comment Text Char"/>
    <w:basedOn w:val="DefaultParagraphFont"/>
    <w:qFormat/>
    <w:rPr>
      <w:rFonts w:ascii="Times New Roman" w:hAnsi="Times New Roman" w:eastAsia="Times New Roman" w:cs="Times New Roman"/>
      <w:sz w:val="20"/>
      <w:szCs w:val="20"/>
      <w:lang w:eastAsia="en-US"/>
    </w:rPr>
  </w:style>
  <w:style w:type="character" w:styleId="SubtitleChar" w:customStyle="1">
    <w:name w:val="Subtitle Char"/>
    <w:basedOn w:val="DefaultParagraphFont"/>
    <w:qFormat/>
    <w:rPr>
      <w:caps/>
      <w:color w:val="404040"/>
      <w:spacing w:val="20"/>
      <w:sz w:val="28"/>
      <w:szCs w:val="28"/>
    </w:rPr>
  </w:style>
  <w:style w:type="character" w:styleId="ListParagraphChar" w:customStyle="1">
    <w:name w:val="List Paragraph Char"/>
    <w:basedOn w:val="DefaultParagraphFont"/>
    <w:qFormat/>
    <w:rPr/>
  </w:style>
  <w:style w:type="character" w:styleId="Inaosramenys" w:customStyle="1">
    <w:name w:val="Išnašos rašmenys"/>
    <w:qFormat/>
    <w:rPr>
      <w:vertAlign w:val="superscript"/>
    </w:rPr>
  </w:style>
  <w:style w:type="character" w:styleId="FootnoteCharactersWW" w:customStyle="1">
    <w:name w:val="Footnote Characters (WW)"/>
    <w:qFormat/>
    <w:rPr>
      <w:vertAlign w:val="superscript"/>
    </w:rPr>
  </w:style>
  <w:style w:type="character" w:styleId="FootnoteCharacters1" w:customStyle="1">
    <w:name w:val="Footnote Characters1"/>
    <w:qFormat/>
    <w:rPr>
      <w:vertAlign w:val="superscript"/>
    </w:rPr>
  </w:style>
  <w:style w:type="character" w:styleId="FootnoteCharacters2" w:customStyle="1">
    <w:name w:val="Footnote Characters2"/>
    <w:qFormat/>
    <w:rPr>
      <w:vertAlign w:val="superscript"/>
    </w:rPr>
  </w:style>
  <w:style w:type="character" w:styleId="FootnoteCharacters3" w:customStyle="1">
    <w:name w:val="Footnote Characters3"/>
    <w:qFormat/>
    <w:rPr>
      <w:vertAlign w:val="superscript"/>
    </w:rPr>
  </w:style>
  <w:style w:type="character" w:styleId="FootnoteCharacters4" w:customStyle="1">
    <w:name w:val="Footnote Characters4"/>
    <w:qFormat/>
    <w:rPr>
      <w:vertAlign w:val="superscript"/>
    </w:rPr>
  </w:style>
  <w:style w:type="character" w:styleId="FootnoteCharacters5" w:customStyle="1">
    <w:name w:val="Footnote Characters5"/>
    <w:qFormat/>
    <w:rPr>
      <w:vertAlign w:val="superscript"/>
    </w:rPr>
  </w:style>
  <w:style w:type="character" w:styleId="FootnoteSymbol" w:customStyle="1">
    <w:name w:val="Footnote Symbol"/>
    <w:qFormat/>
    <w:rPr>
      <w:vertAlign w:val="superscript"/>
    </w:rPr>
  </w:style>
  <w:style w:type="character" w:styleId="FootnoteCharacters" w:customStyle="1">
    <w:name w:val="Footnote Characters"/>
    <w:uiPriority w:val="99"/>
    <w:semiHidden/>
    <w:unhideWhenUsed/>
    <w:qFormat/>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qFormat/>
    <w:rPr>
      <w:sz w:val="16"/>
      <w:szCs w:val="16"/>
    </w:rPr>
  </w:style>
  <w:style w:type="character" w:styleId="BalloonTextChar" w:customStyle="1">
    <w:name w:val="Balloon Text Char"/>
    <w:basedOn w:val="DefaultParagraphFont"/>
    <w:qFormat/>
    <w:rPr>
      <w:rFonts w:ascii="Segoe UI" w:hAnsi="Segoe UI" w:eastAsia="Segoe UI" w:cs="Segoe UI"/>
      <w:sz w:val="18"/>
      <w:szCs w:val="18"/>
      <w:lang w:eastAsia="en-US"/>
    </w:rPr>
  </w:style>
  <w:style w:type="character" w:styleId="UnresolvedMention1" w:customStyle="1">
    <w:name w:val="Unresolved Mention1"/>
    <w:basedOn w:val="DefaultParagraphFont"/>
    <w:qFormat/>
    <w:rPr>
      <w:color w:val="808080"/>
      <w:shd w:fill="E6E6E6" w:val="clear"/>
    </w:rPr>
  </w:style>
  <w:style w:type="character" w:styleId="CommentSubjectChar" w:customStyle="1">
    <w:name w:val="Comment Subject Char"/>
    <w:basedOn w:val="CommentTextChar"/>
    <w:qFormat/>
    <w:rPr>
      <w:rFonts w:ascii="Times New Roman" w:hAnsi="Times New Roman" w:eastAsia="Times New Roman" w:cs="Times New Roman"/>
      <w:b/>
      <w:bCs/>
      <w:sz w:val="20"/>
      <w:szCs w:val="20"/>
      <w:lang w:eastAsia="en-US"/>
    </w:rPr>
  </w:style>
  <w:style w:type="character" w:styleId="Pildymui" w:customStyle="1">
    <w:name w:val="pildymui"/>
    <w:basedOn w:val="DefaultParagraphFont"/>
    <w:qFormat/>
    <w:rPr/>
  </w:style>
  <w:style w:type="character" w:styleId="BodyTextChar" w:customStyle="1">
    <w:name w:val="Body Text Char"/>
    <w:basedOn w:val="DefaultParagraphFont"/>
    <w:qFormat/>
    <w:rPr>
      <w:rFonts w:ascii="Times New Roman" w:hAnsi="Times New Roman" w:eastAsia="Times New Roman" w:cs="Times New Roman"/>
      <w:sz w:val="24"/>
      <w:szCs w:val="20"/>
      <w:lang w:eastAsia="en-US"/>
    </w:rPr>
  </w:style>
  <w:style w:type="character" w:styleId="HeaderChar" w:customStyle="1">
    <w:name w:val="Header Char"/>
    <w:basedOn w:val="DefaultParagraphFont"/>
    <w:qFormat/>
    <w:rPr>
      <w:rFonts w:ascii="Times New Roman" w:hAnsi="Times New Roman" w:eastAsia="Times New Roman" w:cs="Times New Roman"/>
      <w:sz w:val="24"/>
      <w:szCs w:val="24"/>
      <w:lang w:eastAsia="en-US"/>
    </w:rPr>
  </w:style>
  <w:style w:type="character" w:styleId="FooterChar" w:customStyle="1">
    <w:name w:val="Footer Char"/>
    <w:basedOn w:val="DefaultParagraphFont"/>
    <w:qFormat/>
    <w:rPr>
      <w:rFonts w:ascii="Times New Roman" w:hAnsi="Times New Roman" w:eastAsia="Times New Roman" w:cs="Times New Roman"/>
      <w:sz w:val="24"/>
      <w:szCs w:val="24"/>
      <w:lang w:eastAsia="en-US"/>
    </w:rPr>
  </w:style>
  <w:style w:type="character" w:styleId="SubtleEmphasis">
    <w:name w:val="Subtle Emphasis"/>
    <w:basedOn w:val="DefaultParagraphFont"/>
    <w:qFormat/>
    <w:rPr>
      <w:i/>
      <w:iCs/>
      <w:color w:val="595959"/>
    </w:rPr>
  </w:style>
  <w:style w:type="character" w:styleId="Heading2Char" w:customStyle="1">
    <w:name w:val="Heading 2 Char"/>
    <w:basedOn w:val="DefaultParagraphFont"/>
    <w:qFormat/>
    <w:rPr>
      <w:rFonts w:ascii="Calibri Light" w:hAnsi="Calibri Light" w:eastAsia="Segoe UI" w:cs="Tahoma"/>
      <w:color w:val="ED7D31"/>
      <w:sz w:val="36"/>
      <w:szCs w:val="36"/>
    </w:rPr>
  </w:style>
  <w:style w:type="character" w:styleId="Heading3Char" w:customStyle="1">
    <w:name w:val="Heading 3 Char"/>
    <w:basedOn w:val="DefaultParagraphFont"/>
    <w:qFormat/>
    <w:rPr>
      <w:rFonts w:ascii="Calibri Light" w:hAnsi="Calibri Light" w:eastAsia="Segoe UI" w:cs="Tahoma"/>
      <w:color w:val="C45911"/>
      <w:sz w:val="32"/>
      <w:szCs w:val="32"/>
    </w:rPr>
  </w:style>
  <w:style w:type="character" w:styleId="Heading4Char" w:customStyle="1">
    <w:name w:val="Heading 4 Char"/>
    <w:basedOn w:val="DefaultParagraphFont"/>
    <w:qFormat/>
    <w:rPr>
      <w:rFonts w:ascii="Calibri Light" w:hAnsi="Calibri Light" w:eastAsia="Segoe UI" w:cs="Tahoma"/>
      <w:i/>
      <w:iCs/>
      <w:color w:val="833C0B"/>
      <w:sz w:val="28"/>
      <w:szCs w:val="28"/>
    </w:rPr>
  </w:style>
  <w:style w:type="character" w:styleId="Heading5Char" w:customStyle="1">
    <w:name w:val="Heading 5 Char"/>
    <w:basedOn w:val="DefaultParagraphFont"/>
    <w:qFormat/>
    <w:rPr>
      <w:rFonts w:ascii="Calibri Light" w:hAnsi="Calibri Light" w:eastAsia="Segoe UI" w:cs="Tahoma"/>
      <w:color w:val="C45911"/>
      <w:sz w:val="24"/>
      <w:szCs w:val="24"/>
    </w:rPr>
  </w:style>
  <w:style w:type="character" w:styleId="Heading6Char" w:customStyle="1">
    <w:name w:val="Heading 6 Char"/>
    <w:basedOn w:val="DefaultParagraphFont"/>
    <w:qFormat/>
    <w:rPr>
      <w:rFonts w:ascii="Calibri Light" w:hAnsi="Calibri Light" w:eastAsia="Segoe UI" w:cs="Tahoma"/>
      <w:i/>
      <w:iCs/>
      <w:color w:val="833C0B"/>
      <w:sz w:val="24"/>
      <w:szCs w:val="24"/>
    </w:rPr>
  </w:style>
  <w:style w:type="character" w:styleId="Heading7Char" w:customStyle="1">
    <w:name w:val="Heading 7 Char"/>
    <w:basedOn w:val="DefaultParagraphFont"/>
    <w:qFormat/>
    <w:rPr>
      <w:rFonts w:ascii="Calibri Light" w:hAnsi="Calibri Light" w:eastAsia="Segoe UI" w:cs="Tahoma"/>
      <w:b/>
      <w:bCs/>
      <w:color w:val="833C0B"/>
      <w:sz w:val="22"/>
      <w:szCs w:val="22"/>
    </w:rPr>
  </w:style>
  <w:style w:type="character" w:styleId="Heading8Char" w:customStyle="1">
    <w:name w:val="Heading 8 Char"/>
    <w:basedOn w:val="DefaultParagraphFont"/>
    <w:qFormat/>
    <w:rPr>
      <w:rFonts w:ascii="Calibri Light" w:hAnsi="Calibri Light" w:eastAsia="Segoe UI" w:cs="Tahoma"/>
      <w:color w:val="833C0B"/>
      <w:sz w:val="22"/>
      <w:szCs w:val="22"/>
    </w:rPr>
  </w:style>
  <w:style w:type="character" w:styleId="Heading9Char" w:customStyle="1">
    <w:name w:val="Heading 9 Char"/>
    <w:basedOn w:val="DefaultParagraphFont"/>
    <w:qFormat/>
    <w:rPr>
      <w:rFonts w:ascii="Calibri Light" w:hAnsi="Calibri Light" w:eastAsia="Segoe UI" w:cs="Tahoma"/>
      <w:i/>
      <w:iCs/>
      <w:color w:val="833C0B"/>
      <w:sz w:val="22"/>
      <w:szCs w:val="22"/>
    </w:rPr>
  </w:style>
  <w:style w:type="character" w:styleId="TitleChar" w:customStyle="1">
    <w:name w:val="Title Char"/>
    <w:basedOn w:val="DefaultParagraphFont"/>
    <w:qFormat/>
    <w:rPr>
      <w:rFonts w:ascii="Calibri Light" w:hAnsi="Calibri Light" w:eastAsia="Segoe UI" w:cs="Tahoma"/>
      <w:color w:val="262626"/>
      <w:sz w:val="96"/>
      <w:szCs w:val="96"/>
    </w:rPr>
  </w:style>
  <w:style w:type="character" w:styleId="StrongEmphasis" w:customStyle="1">
    <w:name w:val="Strong Emphasis"/>
    <w:basedOn w:val="DefaultParagraphFont"/>
    <w:qFormat/>
    <w:rPr>
      <w:b/>
      <w:bCs/>
    </w:rPr>
  </w:style>
  <w:style w:type="character" w:styleId="Emphasis">
    <w:name w:val="Emphasis"/>
    <w:basedOn w:val="DefaultParagraphFont"/>
    <w:qFormat/>
    <w:rPr>
      <w:i/>
      <w:iCs/>
      <w:color w:val="000000"/>
    </w:rPr>
  </w:style>
  <w:style w:type="character" w:styleId="QuoteChar" w:customStyle="1">
    <w:name w:val="Quote Char"/>
    <w:basedOn w:val="DefaultParagraphFont"/>
    <w:qFormat/>
    <w:rPr>
      <w:rFonts w:ascii="Calibri Light" w:hAnsi="Calibri Light" w:eastAsia="Segoe UI" w:cs="Tahoma"/>
      <w:color w:val="000000"/>
      <w:sz w:val="24"/>
      <w:szCs w:val="24"/>
    </w:rPr>
  </w:style>
  <w:style w:type="character" w:styleId="IntenseQuoteChar" w:customStyle="1">
    <w:name w:val="Intense Quote Char"/>
    <w:basedOn w:val="DefaultParagraphFont"/>
    <w:qFormat/>
    <w:rPr>
      <w:rFonts w:ascii="Calibri Light" w:hAnsi="Calibri Light" w:eastAsia="Segoe UI" w:cs="Tahoma"/>
      <w:sz w:val="24"/>
      <w:szCs w:val="24"/>
    </w:rPr>
  </w:style>
  <w:style w:type="character" w:styleId="IntenseEmphasis">
    <w:name w:val="Intense Emphasis"/>
    <w:basedOn w:val="DefaultParagraphFont"/>
    <w:qFormat/>
    <w:rPr>
      <w:b/>
      <w:bCs/>
      <w:i/>
      <w:iCs/>
      <w:caps w:val="false"/>
      <w:smallCaps w:val="false"/>
      <w:strike w:val="false"/>
      <w:dstrike w:val="false"/>
      <w:color w:val="ED7D31"/>
    </w:rPr>
  </w:style>
  <w:style w:type="character" w:styleId="SubtleReference">
    <w:name w:val="Subtle Reference"/>
    <w:basedOn w:val="DefaultParagraphFont"/>
    <w:qFormat/>
    <w:rPr>
      <w:smallCaps/>
      <w:color w:val="404040"/>
      <w:spacing w:val="0"/>
      <w:u w:val="single" w:color="7F7F7F"/>
    </w:rPr>
  </w:style>
  <w:style w:type="character" w:styleId="IntenseReference">
    <w:name w:val="Intense Reference"/>
    <w:basedOn w:val="DefaultParagraphFont"/>
    <w:qFormat/>
    <w:rPr>
      <w:b/>
      <w:bCs/>
      <w:smallCaps/>
      <w:color w:val="auto"/>
      <w:spacing w:val="0"/>
      <w:u w:val="single"/>
    </w:rPr>
  </w:style>
  <w:style w:type="character" w:styleId="BookTitle">
    <w:name w:val="Book Title"/>
    <w:basedOn w:val="DefaultParagraphFont"/>
    <w:qFormat/>
    <w:rPr>
      <w:b/>
      <w:bCs/>
      <w:smallCaps/>
      <w:spacing w:val="0"/>
    </w:rPr>
  </w:style>
  <w:style w:type="character" w:styleId="NoSpacingChar" w:customStyle="1">
    <w:name w:val="No Spacing Char"/>
    <w:basedOn w:val="DefaultParagraphFont"/>
    <w:qFormat/>
    <w:rPr/>
  </w:style>
  <w:style w:type="character" w:styleId="PlaceholderText">
    <w:name w:val="Placeholder Text"/>
    <w:basedOn w:val="DefaultParagraphFont"/>
    <w:qFormat/>
    <w:rPr>
      <w:color w:val="808080"/>
    </w:rPr>
  </w:style>
  <w:style w:type="character" w:styleId="VisitedInternetLink" w:customStyle="1">
    <w:name w:val="Visited Internet Link"/>
    <w:basedOn w:val="DefaultParagraphFont"/>
    <w:qFormat/>
    <w:rPr>
      <w:color w:val="954F72"/>
      <w:u w:val="single"/>
    </w:rPr>
  </w:style>
  <w:style w:type="character" w:styleId="EndnoteTextChar" w:customStyle="1">
    <w:name w:val="Endnote Text Char"/>
    <w:basedOn w:val="DefaultParagraphFont"/>
    <w:qFormat/>
    <w:rPr>
      <w:sz w:val="20"/>
      <w:szCs w:val="20"/>
    </w:rPr>
  </w:style>
  <w:style w:type="character" w:styleId="Galinsinaosramenys" w:customStyle="1">
    <w:name w:val="Galinės išnašos rašmenys"/>
    <w:qFormat/>
    <w:rPr>
      <w:vertAlign w:val="superscript"/>
    </w:rPr>
  </w:style>
  <w:style w:type="character" w:styleId="EndnoteCharactersWW" w:customStyle="1">
    <w:name w:val="Endnote Characters (WW)"/>
    <w:qFormat/>
    <w:rPr>
      <w:vertAlign w:val="superscript"/>
    </w:rPr>
  </w:style>
  <w:style w:type="character" w:styleId="EndnoteCharacters1" w:customStyle="1">
    <w:name w:val="Endnote Characters1"/>
    <w:qFormat/>
    <w:rPr>
      <w:vertAlign w:val="superscript"/>
    </w:rPr>
  </w:style>
  <w:style w:type="character" w:styleId="EndnoteCharacters2" w:customStyle="1">
    <w:name w:val="Endnote Characters2"/>
    <w:qFormat/>
    <w:rPr>
      <w:vertAlign w:val="superscript"/>
    </w:rPr>
  </w:style>
  <w:style w:type="character" w:styleId="EndnoteCharacters3" w:customStyle="1">
    <w:name w:val="Endnote Characters3"/>
    <w:qFormat/>
    <w:rPr>
      <w:vertAlign w:val="superscript"/>
    </w:rPr>
  </w:style>
  <w:style w:type="character" w:styleId="EndnoteCharacters4" w:customStyle="1">
    <w:name w:val="Endnote Characters4"/>
    <w:qFormat/>
    <w:rPr>
      <w:vertAlign w:val="superscript"/>
    </w:rPr>
  </w:style>
  <w:style w:type="character" w:styleId="EndnoteCharacters5" w:customStyle="1">
    <w:name w:val="Endnote Characters5"/>
    <w:qFormat/>
    <w:rPr>
      <w:vertAlign w:val="superscript"/>
    </w:rPr>
  </w:style>
  <w:style w:type="character" w:styleId="EndnoteSymbol" w:customStyle="1">
    <w:name w:val="Endnote Symbol"/>
    <w:qFormat/>
    <w:rPr>
      <w:vertAlign w:val="superscript"/>
    </w:rPr>
  </w:style>
  <w:style w:type="character" w:styleId="EndnoteCharacters" w:customStyle="1">
    <w:name w:val="Endnote Characters"/>
    <w:qFormat/>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qFormat/>
    <w:rPr/>
  </w:style>
  <w:style w:type="character" w:styleId="Cf01" w:customStyle="1">
    <w:name w:val="cf01"/>
    <w:basedOn w:val="DefaultParagraphFont"/>
    <w:qFormat/>
    <w:rPr>
      <w:rFonts w:ascii="Segoe UI" w:hAnsi="Segoe UI" w:eastAsia="Segoe UI" w:cs="Segoe UI"/>
      <w:sz w:val="18"/>
      <w:szCs w:val="18"/>
    </w:rPr>
  </w:style>
  <w:style w:type="character" w:styleId="Mention1" w:customStyle="1">
    <w:name w:val="Mention1"/>
    <w:basedOn w:val="DefaultParagraphFont"/>
    <w:qFormat/>
    <w:rPr>
      <w:color w:val="2B579A"/>
      <w:shd w:fill="E6E6E6" w:val="clear"/>
    </w:rPr>
  </w:style>
  <w:style w:type="character" w:styleId="Paragrafesrasas2lygisDiagrama" w:customStyle="1">
    <w:name w:val="_paragrafe sąrasas 2 lygis Diagrama"/>
    <w:basedOn w:val="DefaultParagraphFont"/>
    <w:qFormat/>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qFormat/>
    <w:rPr/>
  </w:style>
  <w:style w:type="character" w:styleId="Cf11" w:customStyle="1">
    <w:name w:val="cf11"/>
    <w:basedOn w:val="DefaultParagraphFont"/>
    <w:qFormat/>
    <w:rPr>
      <w:rFonts w:ascii="Segoe UI" w:hAnsi="Segoe UI" w:eastAsia="Segoe UI" w:cs="Segoe UI"/>
      <w:color w:val="0000FF"/>
      <w:sz w:val="18"/>
      <w:szCs w:val="18"/>
    </w:rPr>
  </w:style>
  <w:style w:type="character" w:styleId="Cf21" w:customStyle="1">
    <w:name w:val="cf21"/>
    <w:basedOn w:val="DefaultParagraphFont"/>
    <w:qFormat/>
    <w:rPr>
      <w:rFonts w:ascii="Segoe UI" w:hAnsi="Segoe UI" w:eastAsia="Segoe UI" w:cs="Segoe UI"/>
      <w:color w:val="538135"/>
      <w:sz w:val="18"/>
      <w:szCs w:val="18"/>
    </w:rPr>
  </w:style>
  <w:style w:type="character" w:styleId="FontStyle14" w:customStyle="1">
    <w:name w:val="Font Style14"/>
    <w:qFormat/>
    <w:rPr>
      <w:rFonts w:ascii="Times New Roman" w:hAnsi="Times New Roman" w:eastAsia="Times New Roman" w:cs="Times New Roman"/>
      <w:sz w:val="18"/>
    </w:rPr>
  </w:style>
  <w:style w:type="character" w:styleId="Rodyklssaitas">
    <w:name w:val="Rodyklės saitas"/>
    <w:qFormat/>
    <w:rPr/>
  </w:style>
  <w:style w:type="character" w:styleId="UnresolvedMention2" w:customStyle="1">
    <w:name w:val="Unresolved Mention2"/>
    <w:basedOn w:val="DefaultParagraphFont"/>
    <w:qFormat/>
    <w:rPr>
      <w:color w:val="605E5C"/>
      <w:shd w:fill="E1DFDD" w:val="clear"/>
    </w:rPr>
  </w:style>
  <w:style w:type="character" w:styleId="DefaultParagraphFont1" w:customStyle="1">
    <w:name w:val="Default Paragraph Font1"/>
    <w:qFormat/>
    <w:rPr/>
  </w:style>
  <w:style w:type="character" w:styleId="Hipersaitas1" w:customStyle="1">
    <w:name w:val="Hipersaitas1"/>
    <w:basedOn w:val="DefaultParagraphFont1"/>
    <w:qFormat/>
    <w:rPr>
      <w:rFonts w:ascii="Times New Roman" w:hAnsi="Times New Roman" w:eastAsia="Times New Roman" w:cs="Times New Roman"/>
      <w:color w:val="0000FF"/>
      <w:sz w:val="24"/>
      <w:szCs w:val="24"/>
      <w:u w:val="single"/>
    </w:rPr>
  </w:style>
  <w:style w:type="character" w:styleId="Hyperlink">
    <w:name w:val="Hyperlink"/>
    <w:rPr>
      <w:color w:val="000080"/>
      <w:u w:val="single"/>
    </w:rPr>
  </w:style>
  <w:style w:type="character" w:styleId="Bullets" w:customStyle="1">
    <w:name w:val="Bullets"/>
    <w:qFormat/>
    <w:rPr>
      <w:rFonts w:ascii="OpenSymbol" w:hAnsi="OpenSymbol" w:eastAsia="OpenSymbol" w:cs="OpenSymbol"/>
    </w:rPr>
  </w:style>
  <w:style w:type="character" w:styleId="KomentarotekstasDiagrama" w:customStyle="1">
    <w:name w:val="Komentaro tekstas Diagrama"/>
    <w:basedOn w:val="DefaultParagraphFont"/>
    <w:link w:val="Annotationtext"/>
    <w:uiPriority w:val="99"/>
    <w:qFormat/>
    <w:rsid w:val="007d144e"/>
    <w:rPr>
      <w:sz w:val="20"/>
      <w:szCs w:val="20"/>
    </w:rPr>
  </w:style>
  <w:style w:type="character" w:styleId="UnresolvedMention" w:customStyle="1">
    <w:name w:val="Unresolved Mention"/>
    <w:basedOn w:val="DefaultParagraphFont"/>
    <w:uiPriority w:val="99"/>
    <w:semiHidden/>
    <w:unhideWhenUsed/>
    <w:qFormat/>
    <w:rsid w:val="00582ecf"/>
    <w:rPr>
      <w:color w:val="605E5C"/>
      <w:shd w:fill="E1DFDD" w:val="clear"/>
    </w:rPr>
  </w:style>
  <w:style w:type="character" w:styleId="FollowedHyperlink">
    <w:name w:val="FollowedHyperlink"/>
    <w:basedOn w:val="DefaultParagraphFont"/>
    <w:uiPriority w:val="99"/>
    <w:semiHidden/>
    <w:unhideWhenUsed/>
    <w:rsid w:val="007013e3"/>
    <w:rPr>
      <w:color w:themeColor="followedHyperlink" w:val="954F72"/>
      <w:u w:val="single"/>
    </w:rPr>
  </w:style>
  <w:style w:type="character" w:styleId="Numeravimosimboliai">
    <w:name w:val="Numeravimo simboliai"/>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Standard"/>
    <w:qFormat/>
    <w:pPr>
      <w:suppressLineNumbers/>
    </w:pPr>
    <w:rPr>
      <w:rFonts w:cs="Lucida Sans"/>
    </w:rPr>
  </w:style>
  <w:style w:type="paragraph" w:styleId="Caption1">
    <w:name w:val="caption1"/>
    <w:basedOn w:val="Normal"/>
    <w:qFormat/>
    <w:pPr>
      <w:suppressLineNumbers/>
      <w:spacing w:before="120" w:after="120"/>
    </w:pPr>
    <w:rPr>
      <w:rFonts w:cs="Lucida Sans"/>
      <w:i/>
      <w:iCs/>
      <w:sz w:val="24"/>
      <w:szCs w:val="24"/>
    </w:rPr>
  </w:style>
  <w:style w:type="paragraph" w:styleId="Antrat1" w:customStyle="1">
    <w:name w:val="Antraštė1"/>
    <w:basedOn w:val="Standard"/>
    <w:next w:val="Textbody"/>
    <w:qFormat/>
    <w:pPr>
      <w:keepNext w:val="true"/>
      <w:spacing w:before="240" w:after="120"/>
    </w:pPr>
    <w:rPr>
      <w:rFonts w:ascii="Liberation Sans" w:hAnsi="Liberation Sans" w:eastAsia="Microsoft YaHei" w:cs="Arial"/>
      <w:sz w:val="28"/>
      <w:szCs w:val="28"/>
    </w:rPr>
  </w:style>
  <w:style w:type="paragraph" w:styleId="Standard" w:customStyle="1">
    <w:name w:val="Standard"/>
    <w:qFormat/>
    <w:pPr>
      <w:widowControl/>
      <w:suppressAutoHyphens w:val="true"/>
      <w:bidi w:val="0"/>
      <w:spacing w:lineRule="auto" w:line="276" w:before="0" w:after="160"/>
      <w:jc w:val="left"/>
      <w:textAlignment w:val="baseline"/>
    </w:pPr>
    <w:rPr>
      <w:rFonts w:ascii="Calibri" w:hAnsi="Calibri" w:eastAsia="Segoe UI" w:cs="Tahoma"/>
      <w:color w:val="auto"/>
      <w:kern w:val="0"/>
      <w:sz w:val="21"/>
      <w:szCs w:val="21"/>
      <w:lang w:val="lt-LT" w:eastAsia="lt-LT" w:bidi="ar-SA"/>
    </w:rPr>
  </w:style>
  <w:style w:type="paragraph" w:styleId="Textbody" w:customStyle="1">
    <w:name w:val="Text body"/>
    <w:basedOn w:val="Standard"/>
    <w:qFormat/>
    <w:pPr>
      <w:ind w:firstLine="567"/>
      <w:jc w:val="both"/>
    </w:pPr>
    <w:rPr>
      <w:szCs w:val="20"/>
    </w:rPr>
  </w:style>
  <w:style w:type="paragraph" w:styleId="Caption11" w:customStyle="1">
    <w:name w:val="caption11"/>
    <w:next w:val="Body2"/>
    <w:qFormat/>
    <w:pPr>
      <w:widowControl/>
      <w:suppressAutoHyphens w:val="true"/>
      <w:bidi w:val="0"/>
      <w:spacing w:before="0" w:after="0"/>
      <w:jc w:val="left"/>
      <w:textAlignment w:val="baseline"/>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Caption111" w:customStyle="1">
    <w:name w:val="caption111"/>
    <w:basedOn w:val="Standard"/>
    <w:qFormat/>
    <w:pPr>
      <w:suppressLineNumbers/>
      <w:spacing w:before="120" w:after="120"/>
    </w:pPr>
    <w:rPr>
      <w:rFonts w:cs="Lucida Sans"/>
      <w:i/>
      <w:iCs/>
      <w:sz w:val="24"/>
      <w:szCs w:val="24"/>
    </w:rPr>
  </w:style>
  <w:style w:type="paragraph" w:styleId="Footnote" w:customStyle="1">
    <w:name w:val="Footnote"/>
    <w:basedOn w:val="Standard"/>
    <w:qFormat/>
    <w:pPr/>
    <w:rPr>
      <w:sz w:val="20"/>
      <w:szCs w:val="20"/>
    </w:rPr>
  </w:style>
  <w:style w:type="paragraph" w:styleId="Marginalia" w:customStyle="1">
    <w:name w:val="Marginalia"/>
    <w:basedOn w:val="Standard"/>
    <w:qFormat/>
    <w:pPr/>
    <w:rPr>
      <w:sz w:val="20"/>
      <w:szCs w:val="20"/>
    </w:rPr>
  </w:style>
  <w:style w:type="paragraph" w:styleId="Subtitle">
    <w:name w:val="Subtitle"/>
    <w:basedOn w:val="Standard"/>
    <w:next w:val="Standard"/>
    <w:qFormat/>
    <w:pPr>
      <w:spacing w:before="0" w:after="240"/>
    </w:pPr>
    <w:rPr>
      <w:caps/>
      <w:color w:val="404040"/>
      <w:spacing w:val="20"/>
      <w:sz w:val="28"/>
      <w:szCs w:val="28"/>
    </w:rPr>
  </w:style>
  <w:style w:type="paragraph" w:styleId="ListParagraph">
    <w:name w:val="List Paragraph"/>
    <w:basedOn w:val="Standard"/>
    <w:qFormat/>
    <w:pPr>
      <w:ind w:left="720"/>
    </w:pPr>
    <w:rPr/>
  </w:style>
  <w:style w:type="paragraph" w:styleId="BalloonText">
    <w:name w:val="Balloon Text"/>
    <w:basedOn w:val="Standard"/>
    <w:qFormat/>
    <w:pPr/>
    <w:rPr>
      <w:rFonts w:ascii="Segoe UI" w:hAnsi="Segoe UI" w:cs="Segoe UI"/>
      <w:sz w:val="18"/>
      <w:szCs w:val="18"/>
    </w:rPr>
  </w:style>
  <w:style w:type="paragraph" w:styleId="Annotationsubject">
    <w:name w:val="annotation subject"/>
    <w:basedOn w:val="Marginalia"/>
    <w:next w:val="Marginalia"/>
    <w:qFormat/>
    <w:pPr/>
    <w:rPr>
      <w:b/>
      <w:bCs/>
    </w:rPr>
  </w:style>
  <w:style w:type="paragraph" w:styleId="NormalWeb">
    <w:name w:val="Normal (Web)"/>
    <w:basedOn w:val="Standard"/>
    <w:qFormat/>
    <w:pPr>
      <w:spacing w:before="280" w:after="280"/>
    </w:pPr>
    <w:rPr/>
  </w:style>
  <w:style w:type="paragraph" w:styleId="Puslapinantratirporat">
    <w:name w:val="Puslapinė antraštė ir poraštė"/>
    <w:basedOn w:val="Normal"/>
    <w:qFormat/>
    <w:pPr/>
    <w:rPr/>
  </w:style>
  <w:style w:type="paragraph" w:styleId="Header">
    <w:name w:val="Header"/>
    <w:basedOn w:val="Standard"/>
    <w:pPr>
      <w:tabs>
        <w:tab w:val="clear" w:pos="720"/>
        <w:tab w:val="center" w:pos="4513" w:leader="none"/>
        <w:tab w:val="right" w:pos="9026" w:leader="none"/>
      </w:tabs>
    </w:pPr>
    <w:rPr/>
  </w:style>
  <w:style w:type="paragraph" w:styleId="Footer">
    <w:name w:val="Footer"/>
    <w:basedOn w:val="Standard"/>
    <w:pPr>
      <w:tabs>
        <w:tab w:val="clear" w:pos="720"/>
        <w:tab w:val="center" w:pos="4513" w:leader="none"/>
        <w:tab w:val="right" w:pos="9026" w:leader="none"/>
      </w:tabs>
    </w:pPr>
    <w:rPr/>
  </w:style>
  <w:style w:type="paragraph" w:styleId="Revision">
    <w:name w:val="Revision"/>
    <w:qFormat/>
    <w:pPr>
      <w:widowControl/>
      <w:suppressAutoHyphens w:val="true"/>
      <w:bidi w:val="0"/>
      <w:spacing w:before="0" w:after="0"/>
      <w:jc w:val="left"/>
      <w:textAlignment w:val="baseline"/>
    </w:pPr>
    <w:rPr>
      <w:rFonts w:ascii="Times New Roman" w:hAnsi="Times New Roman" w:eastAsia="Segoe UI" w:cs="Tahoma"/>
      <w:color w:val="auto"/>
      <w:kern w:val="0"/>
      <w:sz w:val="24"/>
      <w:szCs w:val="24"/>
      <w:lang w:val="lt-LT" w:eastAsia="en-US" w:bidi="ar-SA"/>
    </w:rPr>
  </w:style>
  <w:style w:type="paragraph" w:styleId="Caption1111" w:customStyle="1">
    <w:name w:val="caption1111"/>
    <w:basedOn w:val="Standard"/>
    <w:next w:val="Standard"/>
    <w:qFormat/>
    <w:pPr>
      <w:spacing w:lineRule="auto" w:line="240"/>
    </w:pPr>
    <w:rPr>
      <w:b/>
      <w:bCs/>
      <w:color w:val="404040"/>
      <w:sz w:val="16"/>
      <w:szCs w:val="16"/>
    </w:rPr>
  </w:style>
  <w:style w:type="paragraph" w:styleId="Title">
    <w:name w:val="Title"/>
    <w:basedOn w:val="Standard"/>
    <w:next w:val="Standard"/>
    <w:qFormat/>
    <w:pPr>
      <w:spacing w:lineRule="auto" w:line="240" w:before="0" w:after="0"/>
    </w:pPr>
    <w:rPr>
      <w:rFonts w:ascii="Calibri Light" w:hAnsi="Calibri Light"/>
      <w:color w:val="262626"/>
      <w:sz w:val="96"/>
      <w:szCs w:val="96"/>
    </w:rPr>
  </w:style>
  <w:style w:type="paragraph" w:styleId="NoSpacing">
    <w:name w:val="No Spacing"/>
    <w:qFormat/>
    <w:pPr>
      <w:widowControl/>
      <w:suppressAutoHyphens w:val="true"/>
      <w:bidi w:val="0"/>
      <w:spacing w:before="0" w:after="0"/>
      <w:jc w:val="left"/>
      <w:textAlignment w:val="baseline"/>
    </w:pPr>
    <w:rPr>
      <w:rFonts w:ascii="Calibri" w:hAnsi="Calibri" w:eastAsia="Segoe UI" w:cs="Tahoma"/>
      <w:color w:val="auto"/>
      <w:kern w:val="0"/>
      <w:sz w:val="21"/>
      <w:szCs w:val="21"/>
      <w:lang w:val="lt-LT" w:eastAsia="lt-LT" w:bidi="ar-SA"/>
    </w:rPr>
  </w:style>
  <w:style w:type="paragraph" w:styleId="Quote">
    <w:name w:val="Quote"/>
    <w:basedOn w:val="Standard"/>
    <w:next w:val="Standard"/>
    <w:qFormat/>
    <w:pPr>
      <w:spacing w:before="160" w:after="160"/>
      <w:ind w:left="720" w:right="720"/>
      <w:jc w:val="center"/>
    </w:pPr>
    <w:rPr>
      <w:rFonts w:ascii="Calibri Light" w:hAnsi="Calibri Light"/>
      <w:color w:val="000000"/>
      <w:sz w:val="24"/>
      <w:szCs w:val="24"/>
    </w:rPr>
  </w:style>
  <w:style w:type="paragraph" w:styleId="IntenseQuote">
    <w:name w:val="Intense Quote"/>
    <w:basedOn w:val="Standard"/>
    <w:next w:val="Standard"/>
    <w:qFormat/>
    <w:pPr>
      <w:pBdr>
        <w:top w:val="single" w:sz="24" w:space="4" w:color="ED7D31"/>
      </w:pBdr>
      <w:spacing w:lineRule="auto" w:line="240" w:before="240" w:after="240"/>
      <w:ind w:left="936" w:right="936"/>
      <w:jc w:val="center"/>
    </w:pPr>
    <w:rPr>
      <w:rFonts w:ascii="Calibri Light" w:hAnsi="Calibri Light"/>
      <w:sz w:val="24"/>
      <w:szCs w:val="24"/>
    </w:rPr>
  </w:style>
  <w:style w:type="paragraph" w:styleId="Indexheading1" w:customStyle="1">
    <w:name w:val="index heading1"/>
    <w:basedOn w:val="Caption11"/>
    <w:qFormat/>
    <w:pPr/>
    <w:rPr/>
  </w:style>
  <w:style w:type="paragraph" w:styleId="Indexheading">
    <w:name w:val="index heading"/>
    <w:basedOn w:val="Caption11"/>
    <w:qFormat/>
    <w:pPr/>
    <w:rPr/>
  </w:style>
  <w:style w:type="paragraph" w:styleId="ContentsHeading" w:customStyle="1">
    <w:name w:val="Contents Heading"/>
    <w:basedOn w:val="Heading1"/>
    <w:next w:val="Standard"/>
    <w:qFormat/>
    <w:pPr/>
    <w:rPr/>
  </w:style>
  <w:style w:type="paragraph" w:styleId="Contents1" w:customStyle="1">
    <w:name w:val="Contents 1"/>
    <w:basedOn w:val="Standard"/>
    <w:next w:val="Standard"/>
    <w:autoRedefine/>
    <w:qFormat/>
    <w:pPr>
      <w:tabs>
        <w:tab w:val="clear" w:pos="720"/>
        <w:tab w:val="left" w:pos="568" w:leader="none"/>
        <w:tab w:val="right" w:pos="10388" w:leader="dot"/>
      </w:tabs>
      <w:spacing w:before="0" w:after="0"/>
      <w:ind w:hanging="284" w:left="426"/>
    </w:pPr>
    <w:rPr/>
  </w:style>
  <w:style w:type="paragraph" w:styleId="Tajtip" w:customStyle="1">
    <w:name w:val="tajtip"/>
    <w:basedOn w:val="Standard"/>
    <w:qFormat/>
    <w:pPr>
      <w:spacing w:lineRule="auto" w:line="240" w:before="280" w:after="280"/>
    </w:pPr>
    <w:rPr>
      <w:rFonts w:ascii="Times New Roman" w:hAnsi="Times New Roman" w:eastAsia="Times New Roman" w:cs="Times New Roman"/>
      <w:sz w:val="24"/>
      <w:szCs w:val="24"/>
    </w:rPr>
  </w:style>
  <w:style w:type="paragraph" w:styleId="Body2" w:customStyle="1">
    <w:name w:val="Body 2"/>
    <w:qFormat/>
    <w:pPr>
      <w:widowControl/>
      <w:suppressAutoHyphens w:val="true"/>
      <w:bidi w:val="0"/>
      <w:spacing w:before="0" w:after="40"/>
      <w:jc w:val="both"/>
      <w:textAlignment w:val="baseline"/>
    </w:pPr>
    <w:rPr>
      <w:rFonts w:ascii="Times New Roman" w:hAnsi="Times New Roman" w:eastAsia="Arial Unicode MS" w:cs="Arial Unicode MS"/>
      <w:color w:val="000000"/>
      <w:kern w:val="0"/>
      <w:sz w:val="21"/>
      <w:szCs w:val="21"/>
      <w:lang w:val="en-US" w:eastAsia="en-US" w:bidi="ar-SA"/>
    </w:rPr>
  </w:style>
  <w:style w:type="paragraph" w:styleId="Contents2" w:customStyle="1">
    <w:name w:val="Contents 2"/>
    <w:basedOn w:val="Standard"/>
    <w:next w:val="Standard"/>
    <w:autoRedefine/>
    <w:qFormat/>
    <w:pPr>
      <w:tabs>
        <w:tab w:val="clear" w:pos="720"/>
        <w:tab w:val="right" w:pos="10182" w:leader="dot"/>
      </w:tabs>
      <w:spacing w:before="0" w:after="0"/>
      <w:ind w:left="220"/>
    </w:pPr>
    <w:rPr/>
  </w:style>
  <w:style w:type="paragraph" w:styleId="S1lygis" w:customStyle="1">
    <w:name w:val="_S 1 lygis"/>
    <w:basedOn w:val="Standard"/>
    <w:qFormat/>
    <w:p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Standard"/>
    <w:qFormat/>
    <w:pPr>
      <w:numPr>
        <w:ilvl w:val="0"/>
        <w:numId w:val="1"/>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pPr/>
    <w:rPr/>
  </w:style>
  <w:style w:type="paragraph" w:styleId="Endnote" w:customStyle="1">
    <w:name w:val="Endnote"/>
    <w:basedOn w:val="Standard"/>
    <w:qFormat/>
    <w:pPr>
      <w:spacing w:lineRule="auto" w:line="240" w:before="0" w:after="0"/>
    </w:pPr>
    <w:rPr>
      <w:sz w:val="20"/>
      <w:szCs w:val="20"/>
    </w:rPr>
  </w:style>
  <w:style w:type="paragraph" w:styleId="Normal12pt" w:customStyle="1">
    <w:name w:val="Normal + 12 pt"/>
    <w:basedOn w:val="Standard"/>
    <w:qFormat/>
    <w:pPr>
      <w:spacing w:lineRule="auto" w:line="240" w:before="0" w:after="0"/>
      <w:ind w:right="-283"/>
      <w:jc w:val="both"/>
    </w:pPr>
    <w:rPr/>
  </w:style>
  <w:style w:type="paragraph" w:styleId="Pf0" w:customStyle="1">
    <w:name w:val="pf0"/>
    <w:basedOn w:val="Standard"/>
    <w:qFormat/>
    <w:pPr>
      <w:spacing w:lineRule="auto" w:line="240" w:before="280" w:after="280"/>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qFormat/>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Standard"/>
    <w:qFormat/>
    <w:pPr>
      <w:spacing w:lineRule="auto" w:line="480" w:before="0" w:after="120"/>
      <w:ind w:left="283"/>
    </w:pPr>
    <w:rPr/>
  </w:style>
  <w:style w:type="paragraph" w:styleId="Sdfootnote" w:customStyle="1">
    <w:name w:val="sdfootnote"/>
    <w:basedOn w:val="Standard"/>
    <w:qFormat/>
    <w:pPr>
      <w:spacing w:before="280" w:after="159"/>
      <w:ind w:firstLine="567"/>
    </w:pPr>
    <w:rPr>
      <w:rFonts w:ascii="Times New Roman" w:hAnsi="Times New Roman" w:eastAsia="Times New Roman" w:cs="Times New Roman"/>
      <w:sz w:val="20"/>
      <w:szCs w:val="20"/>
    </w:rPr>
  </w:style>
  <w:style w:type="paragraph" w:styleId="Western" w:customStyle="1">
    <w:name w:val="western"/>
    <w:basedOn w:val="Standard"/>
    <w:qFormat/>
    <w:pPr>
      <w:spacing w:before="280" w:after="159"/>
      <w:ind w:firstLine="567"/>
      <w:jc w:val="both"/>
    </w:pPr>
    <w:rPr>
      <w:rFonts w:ascii="Times New Roman" w:hAnsi="Times New Roman" w:eastAsia="Times New Roman" w:cs="Times New Roman"/>
      <w:sz w:val="24"/>
      <w:szCs w:val="24"/>
    </w:rPr>
  </w:style>
  <w:style w:type="paragraph" w:styleId="Kadroturinys" w:customStyle="1">
    <w:name w:val="Kadro turinys"/>
    <w:basedOn w:val="Standard"/>
    <w:qFormat/>
    <w:pPr/>
    <w:rPr/>
  </w:style>
  <w:style w:type="paragraph" w:styleId="StandardWW" w:customStyle="1">
    <w:name w:val="Standard (WW)"/>
    <w:qFormat/>
    <w:pPr>
      <w:widowControl/>
      <w:suppressAutoHyphens w:val="true"/>
      <w:bidi w:val="0"/>
      <w:spacing w:before="0" w:after="0"/>
      <w:jc w:val="left"/>
      <w:textAlignment w:val="baseline"/>
    </w:pPr>
    <w:rPr>
      <w:rFonts w:ascii="Times New Roman" w:hAnsi="Times New Roman" w:eastAsia="Arial Unicode MS" w:cs="Mangal"/>
      <w:color w:val="auto"/>
      <w:kern w:val="2"/>
      <w:sz w:val="24"/>
      <w:szCs w:val="24"/>
      <w:lang w:val="lt-LT" w:eastAsia="zh-CN" w:bidi="hi-IN"/>
    </w:rPr>
  </w:style>
  <w:style w:type="paragraph" w:styleId="FrameContents" w:customStyle="1">
    <w:name w:val="Frame Contents"/>
    <w:basedOn w:val="Standard"/>
    <w:qFormat/>
    <w:pPr/>
    <w:rPr/>
  </w:style>
  <w:style w:type="paragraph" w:styleId="Lentelsturinys" w:customStyle="1">
    <w:name w:val="Lentelės turinys"/>
    <w:basedOn w:val="Standard"/>
    <w:qFormat/>
    <w:pPr>
      <w:widowControl w:val="false"/>
      <w:suppressLineNumbers/>
    </w:pPr>
    <w:rPr/>
  </w:style>
  <w:style w:type="paragraph" w:styleId="Lentelsantrat" w:customStyle="1">
    <w:name w:val="Lentelės antraštė"/>
    <w:basedOn w:val="Lentelsturinys"/>
    <w:qFormat/>
    <w:pPr>
      <w:jc w:val="center"/>
    </w:pPr>
    <w:rPr>
      <w:b/>
      <w:bCs/>
    </w:rPr>
  </w:style>
  <w:style w:type="paragraph" w:styleId="FootnoteText">
    <w:name w:val="Footnote Text"/>
    <w:basedOn w:val="Normal"/>
    <w:pPr/>
    <w:rPr/>
  </w:style>
  <w:style w:type="paragraph" w:styleId="Annotationtext">
    <w:name w:val="annotation text"/>
    <w:basedOn w:val="Normal"/>
    <w:link w:val="KomentarotekstasDiagrama"/>
    <w:uiPriority w:val="99"/>
    <w:unhideWhenUsed/>
    <w:qFormat/>
    <w:rsid w:val="007d144e"/>
    <w:pPr/>
    <w:rPr>
      <w:sz w:val="20"/>
      <w:szCs w:val="20"/>
    </w:rPr>
  </w:style>
  <w:style w:type="numbering" w:styleId="NoList" w:default="1">
    <w:name w:val="No List"/>
    <w:uiPriority w:val="99"/>
    <w:semiHidden/>
    <w:unhideWhenUsed/>
    <w:qFormat/>
  </w:style>
  <w:style w:type="numbering" w:styleId="Sraonra1" w:customStyle="1">
    <w:name w:val="Sąrašo nėra1"/>
    <w:qFormat/>
  </w:style>
  <w:style w:type="numbering" w:styleId="List51" w:customStyle="1">
    <w:name w:val="List 51"/>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9e206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giedre.aukstakalne@prienai.lt" TargetMode="Externa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footer" Target="footer5.xml"/><Relationship Id="rId8" Type="http://schemas.openxmlformats.org/officeDocument/2006/relationships/footer" Target="footer6.xml"/><Relationship Id="rId9" Type="http://schemas.openxmlformats.org/officeDocument/2006/relationships/hyperlink" Target="http://draudejai.sodra.lt/draudeju_viesi_duomenys/" TargetMode="External"/><Relationship Id="rId10" Type="http://schemas.openxmlformats.org/officeDocument/2006/relationships/hyperlink" Target="https://vpt.lrv.lt/melaginga-informacija-pateikusiu-tiekeju-sarasas-3" TargetMode="External"/><Relationship Id="rId11" Type="http://schemas.openxmlformats.org/officeDocument/2006/relationships/hyperlink" Target="https://vpt.lrv.lt/lt/nuorodos/kiti-duomenys/powerbi/nepatikimi-tiekejai-1/" TargetMode="External"/><Relationship Id="rId12" Type="http://schemas.openxmlformats.org/officeDocument/2006/relationships/hyperlink" Target="https://vpt.lrv.lt/lt/pasalinimo-pagrindai-1/nepatikimu-koncesininku-sarasas-1/nepatikimu-koncesininku-sarasas" TargetMode="External"/><Relationship Id="rId13" Type="http://schemas.openxmlformats.org/officeDocument/2006/relationships/hyperlink" Target="https://www.registrucentras.lt/jar/p/index.php" TargetMode="External"/><Relationship Id="rId14" Type="http://schemas.openxmlformats.org/officeDocument/2006/relationships/hyperlink" Target="https://vpt.lrv.lt/lt/naujienos-3/finansiniu-ataskaitu-nepateikimas-gali-tapti-kliutimi-dalyvauti-viesuosiuose-pirkimuose/" TargetMode="External"/><Relationship Id="rId15" Type="http://schemas.openxmlformats.org/officeDocument/2006/relationships/hyperlink" Target="https://www.vmi.lt/evmi/mokesciu-moketoju-informacija" TargetMode="External"/><Relationship Id="rId16" Type="http://schemas.openxmlformats.org/officeDocument/2006/relationships/hyperlink" Target="https://kt.gov.lt/lt/atviri-duomenys/diskvalifikavimas-is-viesuju-pirkimu" TargetMode="External"/><Relationship Id="rId17" Type="http://schemas.openxmlformats.org/officeDocument/2006/relationships/footer" Target="footer7.xml"/><Relationship Id="rId18" Type="http://schemas.openxmlformats.org/officeDocument/2006/relationships/footer" Target="footer8.xml"/><Relationship Id="rId19" Type="http://schemas.openxmlformats.org/officeDocument/2006/relationships/footer" Target="footer9.xml"/><Relationship Id="rId20" Type="http://schemas.openxmlformats.org/officeDocument/2006/relationships/hyperlink" Target="mailto:administracija@prienupspc.lt" TargetMode="External"/><Relationship Id="rId21" Type="http://schemas.openxmlformats.org/officeDocument/2006/relationships/footer" Target="footer10.xml"/><Relationship Id="rId22" Type="http://schemas.openxmlformats.org/officeDocument/2006/relationships/footer" Target="footer11.xml"/><Relationship Id="rId23" Type="http://schemas.openxmlformats.org/officeDocument/2006/relationships/footer" Target="footer12.xml"/><Relationship Id="rId24" Type="http://schemas.openxmlformats.org/officeDocument/2006/relationships/footnotes" Target="footnotes.xml"/><Relationship Id="rId25" Type="http://schemas.openxmlformats.org/officeDocument/2006/relationships/numbering" Target="numbering.xml"/><Relationship Id="rId26" Type="http://schemas.openxmlformats.org/officeDocument/2006/relationships/fontTable" Target="fontTable.xml"/><Relationship Id="rId27" Type="http://schemas.openxmlformats.org/officeDocument/2006/relationships/settings" Target="settings.xml"/><Relationship Id="rId2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2957</TotalTime>
  <Application>LibreOffice/24.2.0.3$Windows_X86_64 LibreOffice_project/da48488a73ddd66ea24cf16bbc4f7b9c08e9bea1</Application>
  <AppVersion>15.0000</AppVersion>
  <Pages>46</Pages>
  <Words>15206</Words>
  <Characters>108802</Characters>
  <CharactersWithSpaces>123327</CharactersWithSpaces>
  <Paragraphs>812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2024-10-09T07:40:00Z</dcterms:created>
  <dc:creator>Arūnė Andrulionienė</dc:creator>
  <dc:description/>
  <dc:language>lt-LT</dc:language>
  <cp:lastModifiedBy/>
  <cp:lastPrinted>2024-07-02T11:53:00Z</cp:lastPrinted>
  <dcterms:modified xsi:type="dcterms:W3CDTF">2025-01-10T08:35:07Z</dcterms:modified>
  <cp:revision>123</cp:revision>
  <dc:subject/>
  <dc:title>SS_Žiburio gimnazijos dirbtuvės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CommChanPerm">
    <vt:lpwstr/>
  </property>
  <property fmtid="{D5CDD505-2E9C-101B-9397-08002B2CF9AE}" pid="4" name="DmsDocPrepDocSendRegReal">
    <vt:bool>0</vt:bool>
  </property>
  <property fmtid="{D5CDD505-2E9C-101B-9397-08002B2CF9AE}" pid="5" name="DmsPermissionsConfid">
    <vt:bool>0</vt:bool>
  </property>
  <property fmtid="{D5CDD505-2E9C-101B-9397-08002B2CF9AE}" pid="6" name="DmsPermissionsDivisions">
    <vt:lpwstr>3465;#Pirkimų ir pažeidimų prevencijos skyrius|910dd03e-a0db-46f4-af07-603a3c0d6728;#4358;#Švietimo ir mokslo projektų skyrius|c6f42a81-bb89-4be3-9a95-2e5b672ae452</vt:lpwstr>
  </property>
  <property fmtid="{D5CDD505-2E9C-101B-9397-08002B2CF9AE}" pid="7" name="DmsPermissionsFlags">
    <vt:lpwstr>,SECTRUE,</vt:lpwstr>
  </property>
  <property fmtid="{D5CDD505-2E9C-101B-9397-08002B2CF9AE}" pid="8" name="DmsPermissionsUsers">
    <vt:lpwstr>1121;#Ania Artisiuk;#790;#Lina Jucytė;#656;#Giedrius Uogelė</vt:lpwstr>
  </property>
  <property fmtid="{D5CDD505-2E9C-101B-9397-08002B2CF9AE}" pid="9" name="DmsWaitingForSign">
    <vt:bool>1</vt:bool>
  </property>
  <property fmtid="{D5CDD505-2E9C-101B-9397-08002B2CF9AE}" pid="10" name="MediaServiceImageTags">
    <vt:lpwstr>
    </vt:lpwstr>
  </property>
  <property fmtid="{D5CDD505-2E9C-101B-9397-08002B2CF9AE}" pid="11" name="TaxCatchAll">
    <vt:lpwstr/>
  </property>
</Properties>
</file>